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14:anchorId="2D4C0DB5">
                <wp:simplePos x="0" y="0"/>
                <wp:positionH relativeFrom="margin">
                  <wp:posOffset>635</wp:posOffset>
                </wp:positionH>
                <wp:positionV relativeFrom="margin">
                  <wp:posOffset>-118110</wp:posOffset>
                </wp:positionV>
                <wp:extent cx="3624580" cy="1431290"/>
                <wp:effectExtent l="19050" t="19050" r="27305" b="14605"/>
                <wp:wrapNone/>
                <wp:docPr id="1" name="Название 1"/>
                <a:graphic xmlns:a="http://schemas.openxmlformats.org/drawingml/2006/main">
                  <a:graphicData uri="http://schemas.microsoft.com/office/word/2010/wordprocessingShape">
                    <wps:wsp>
                      <wps:cNvSpPr/>
                      <wps:spPr>
                        <a:xfrm>
                          <a:off x="0" y="0"/>
                          <a:ext cx="3624120" cy="1430640"/>
                        </a:xfrm>
                        <a:prstGeom prst="rect">
                          <a:avLst/>
                        </a:prstGeom>
                        <a:solidFill>
                          <a:schemeClr val="bg1"/>
                        </a:solidFill>
                        <a:ln w="44280">
                          <a:solidFill>
                            <a:schemeClr val="tx1"/>
                          </a:solidFill>
                          <a:miter/>
                        </a:ln>
                      </wps:spPr>
                      <wps:style>
                        <a:lnRef idx="0"/>
                        <a:fillRef idx="0"/>
                        <a:effectRef idx="0"/>
                        <a:fontRef idx="minor"/>
                      </wps:style>
                      <wps:txbx>
                        <w:txbxContent>
                          <w:p>
                            <w:pPr>
                              <w:pStyle w:val="Footer"/>
                              <w:jc w:val="center"/>
                              <w:rPr>
                                <w:color w:val="000000" w:themeColor="text1"/>
                                <w:sz w:val="48"/>
                                <w:szCs w:val="48"/>
                              </w:rPr>
                            </w:pPr>
                            <w:sdt>
                              <w:sdtPr>
                                <w:alias w:val="Название"/>
                              </w:sdtPr>
                              <w:sdtContent>
                                <w:r>
                                  <w:rPr>
                                    <w:rStyle w:val="Style7"/>
                                    <w:color w:val="000000" w:themeColor="text1"/>
                                    <w:sz w:val="24"/>
                                    <w:szCs w:val="24"/>
                                  </w:rPr>
                                  <w:t>Информация об условиях предоставления, использования и возврата потребительск</w:t>
                                </w:r>
                                <w:r>
                                  <w:rPr>
                                    <w:rStyle w:val="Style7"/>
                                    <w:color w:val="000000" w:themeColor="text1"/>
                                    <w:sz w:val="24"/>
                                    <w:szCs w:val="24"/>
                                  </w:rPr>
                                  <w:t>их микрозаймов ООО МКК «НАРОДНАЯ ОПОРА»</w:t>
                                </w:r>
                              </w:sdtContent>
                            </w:sdt>
                          </w:p>
                        </w:txbxContent>
                      </wps:txbx>
                      <wps:bodyPr lIns="274320" rIns="274320" tIns="91440" bIns="91440" anchor="ctr">
                        <a:spAutoFit/>
                      </wps:bodyPr>
                    </wps:wsp>
                  </a:graphicData>
                </a:graphic>
                <wp14:sizeRelH relativeFrom="margin">
                  <wp14:pctWidth>55000</wp14:pctWidth>
                </wp14:sizeRelH>
                <wp14:sizeRelV relativeFrom="margin">
                  <wp14:pctHeight>11000</wp14:pctHeight>
                </wp14:sizeRelV>
              </wp:anchor>
            </w:drawing>
          </mc:Choice>
          <mc:Fallback>
            <w:pict>
              <v:rect id="shape_0" ID="Название 1" fillcolor="white" stroked="t" style="position:absolute;margin-left:0.05pt;margin-top:-9.3pt;width:285.3pt;height:112.6pt;mso-position-horizontal-relative:margin;mso-position-vertical-relative:margin" wp14:anchorId="2D4C0DB5">
                <w10:wrap type="square"/>
                <v:fill o:detectmouseclick="t" type="solid" color2="black"/>
                <v:stroke color="black" weight="44280" joinstyle="miter" endcap="flat"/>
                <v:textbox>
                  <w:txbxContent>
                    <w:p>
                      <w:pPr>
                        <w:pStyle w:val="Footer"/>
                        <w:jc w:val="center"/>
                        <w:rPr>
                          <w:color w:val="000000" w:themeColor="text1"/>
                          <w:sz w:val="48"/>
                          <w:szCs w:val="48"/>
                        </w:rPr>
                      </w:pPr>
                      <w:sdt>
                        <w:sdtPr>
                          <w:text/>
                          <w:dataBinding w:prefixMappings="xmlns:ns0='http://schemas.openxmlformats.org/package/2006/metadata/core-properties' xmlns:ns1='http://purl.org/dc/elements/1.1/'" w:xpath="/ns0:coreProperties[1]/ns1:title[1]" w:storeItemID="{6C3C8BC8-F283-45AE-878A-BAB7291924A1}"/>
                          <w:alias w:val="Название"/>
                        </w:sdtPr>
                        <w:sdtContent>
                          <w:r>
                            <w:rPr>
                              <w:rStyle w:val="Style7"/>
                              <w:color w:val="000000" w:themeColor="text1"/>
                              <w:sz w:val="24"/>
                              <w:szCs w:val="24"/>
                            </w:rPr>
                            <w:t>Информация об условиях предоставления, использования и возврата потребительск</w:t>
                          </w:r>
                          <w:r>
                            <w:rPr>
                              <w:rStyle w:val="Style7"/>
                              <w:color w:val="000000" w:themeColor="text1"/>
                              <w:sz w:val="24"/>
                              <w:szCs w:val="24"/>
                            </w:rPr>
                            <w:t>их микрозаймов ООО МКК «НАРОДНАЯ ОПОРА»</w:t>
                          </w:r>
                        </w:sdtContent>
                      </w:sdt>
                    </w:p>
                  </w:txbxContent>
                </v:textbox>
              </v:rect>
            </w:pict>
          </mc:Fallback>
        </mc:AlternateContent>
      </w:r>
    </w:p>
    <w:p>
      <w:pPr>
        <w:sectPr>
          <w:headerReference w:type="default" r:id="rId2"/>
          <w:type w:val="nextPage"/>
          <w:pgSz w:w="11906" w:h="16838"/>
          <w:pgMar w:left="700" w:right="700" w:header="709" w:top="766" w:footer="0" w:bottom="765" w:gutter="0"/>
          <w:pgNumType w:fmt="decimal"/>
          <w:formProt w:val="false"/>
          <w:textDirection w:val="lrTb"/>
          <w:docGrid w:type="default" w:linePitch="600" w:charSpace="36864"/>
        </w:sectPr>
      </w:pPr>
    </w:p>
    <w:p>
      <w:pPr>
        <w:pStyle w:val="Heading1"/>
        <w:rPr/>
      </w:pPr>
      <w:r>
        <w:rPr/>
        <w:t xml:space="preserve"> </w:t>
      </w:r>
    </w:p>
    <w:p>
      <w:pPr>
        <w:pStyle w:val="Subtitle"/>
        <w:jc w:val="both"/>
        <w:rPr/>
      </w:pPr>
      <w:r>
        <w:rPr/>
      </w:r>
    </w:p>
    <w:p>
      <w:pPr>
        <w:pStyle w:val="NoSpacing"/>
        <w:jc w:val="right"/>
        <w:rPr>
          <w:rFonts w:ascii="Palatino Linotype" w:hAnsi="Palatino Linotype"/>
        </w:rPr>
      </w:pPr>
      <w:r>
        <w:rPr>
          <w:rFonts w:ascii="Palatino Linotype" w:hAnsi="Palatino Linotype"/>
        </w:rPr>
        <w:t>Утверждено</w:t>
      </w:r>
    </w:p>
    <w:p>
      <w:pPr>
        <w:pStyle w:val="NoSpacing"/>
        <w:jc w:val="right"/>
        <w:rPr>
          <w:rFonts w:ascii="Palatino Linotype" w:hAnsi="Palatino Linotype"/>
        </w:rPr>
      </w:pPr>
      <w:r>
        <w:rPr>
          <w:rFonts w:ascii="Palatino Linotype" w:hAnsi="Palatino Linotype"/>
        </w:rPr>
        <w:t>«01» января 2022 г.</w:t>
      </w:r>
    </w:p>
    <w:p>
      <w:pPr>
        <w:pStyle w:val="NoSpacing"/>
        <w:jc w:val="right"/>
        <w:rPr>
          <w:rFonts w:ascii="Palatino Linotype" w:hAnsi="Palatino Linotype"/>
        </w:rPr>
      </w:pPr>
      <w:r>
        <w:rPr>
          <w:rFonts w:ascii="Palatino Linotype" w:hAnsi="Palatino Linotype"/>
        </w:rPr>
        <w:t xml:space="preserve">Приказом Генерального директора №107-З от 30.12.2021 </w:t>
      </w:r>
    </w:p>
    <w:p>
      <w:pPr>
        <w:pStyle w:val="NoSpacing"/>
        <w:jc w:val="right"/>
        <w:rPr>
          <w:rFonts w:ascii="Palatino Linotype" w:hAnsi="Palatino Linotype"/>
        </w:rPr>
      </w:pPr>
      <w:r>
        <w:rPr>
          <w:rFonts w:ascii="Palatino Linotype" w:hAnsi="Palatino Linotype"/>
        </w:rPr>
        <w:t>ООО МКК «Народная опора»</w:t>
      </w:r>
    </w:p>
    <w:p>
      <w:pPr>
        <w:pStyle w:val="NoSpacing"/>
        <w:jc w:val="right"/>
        <w:rPr>
          <w:rFonts w:ascii="Palatino Linotype" w:hAnsi="Palatino Linotype"/>
        </w:rPr>
      </w:pPr>
      <w:r>
        <w:rPr>
          <w:rFonts w:ascii="Palatino Linotype" w:hAnsi="Palatino Linotype"/>
        </w:rPr>
        <w:t>Петерсона А.В.</w:t>
      </w:r>
    </w:p>
    <w:p>
      <w:pPr>
        <w:pStyle w:val="NoSpacing"/>
        <w:jc w:val="right"/>
        <w:rPr>
          <w:rFonts w:ascii="Palatino Linotype" w:hAnsi="Palatino Linotype"/>
        </w:rPr>
      </w:pPr>
      <w:r>
        <w:rPr>
          <w:rFonts w:ascii="Palatino Linotype" w:hAnsi="Palatino Linotype"/>
        </w:rPr>
      </w:r>
    </w:p>
    <w:p>
      <w:pPr>
        <w:pStyle w:val="NoSpacing"/>
        <w:ind w:firstLine="720"/>
        <w:jc w:val="both"/>
        <w:rPr>
          <w:rFonts w:ascii="Palatino Linotype" w:hAnsi="Palatino Linotype"/>
        </w:rPr>
      </w:pPr>
      <w:r>
        <w:rPr>
          <w:rFonts w:ascii="Palatino Linotype" w:hAnsi="Palatino Linotype"/>
        </w:rPr>
        <w:t xml:space="preserve">Настоящий документ разработан микрофинансовой организацией  Общество с ограниченной ответственностью Микрокредитная компания «Народная опора», ОГРН 1102468011711, зарегистрированной в реестре микрофинансовых организаций 13 февраля 2014 г. года за номером 651403504004724 (далее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N 353-ФЗ «О потребительском кредите (займе)», и содержит информацию об условиях предоставления, использования и возврата потребительского микрозайма (далее совместно именуемая - Информация). Настоящий документ размещается в местах оказания услуг- офисах Общества и в сети Интернет на сайте </w:t>
      </w:r>
      <w:r>
        <w:rPr>
          <w:u w:val="single"/>
        </w:rPr>
        <w:t>http://деньги-рядом.рф</w:t>
      </w:r>
      <w:r>
        <w:rPr/>
        <w:t xml:space="preserve"> </w:t>
      </w:r>
      <w:r>
        <w:rPr>
          <w:rFonts w:ascii="Palatino Linotype" w:hAnsi="Palatino Linotype"/>
        </w:rPr>
        <w:t>и содержит следующую информацию:</w:t>
      </w:r>
    </w:p>
    <w:p>
      <w:pPr>
        <w:sectPr>
          <w:type w:val="continuous"/>
          <w:pgSz w:w="11906" w:h="16838"/>
          <w:pgMar w:left="700" w:right="700" w:header="709" w:top="766" w:footer="0" w:bottom="765" w:gutter="0"/>
          <w:formProt w:val="false"/>
          <w:textDirection w:val="lrTb"/>
          <w:docGrid w:type="default" w:linePitch="600" w:charSpace="36864"/>
        </w:sectPr>
      </w:pPr>
    </w:p>
    <w:p>
      <w:pPr>
        <w:pStyle w:val="NoSpacing"/>
        <w:jc w:val="both"/>
        <w:rPr>
          <w:rFonts w:ascii="Palatino Linotype" w:hAnsi="Palatino Linotype"/>
        </w:rPr>
      </w:pPr>
      <w:r>
        <w:rPr>
          <w:rFonts w:ascii="Palatino Linotype" w:hAnsi="Palatino Linotype"/>
        </w:rPr>
      </w:r>
    </w:p>
    <w:p>
      <w:pPr>
        <w:sectPr>
          <w:type w:val="continuous"/>
          <w:pgSz w:w="11906" w:h="16838"/>
          <w:pgMar w:left="700" w:right="700" w:header="709" w:top="766" w:footer="0" w:bottom="765" w:gutter="0"/>
          <w:cols w:num="2" w:space="720" w:equalWidth="true" w:sep="false"/>
          <w:formProt w:val="false"/>
          <w:textDirection w:val="lrTb"/>
          <w:docGrid w:type="default" w:linePitch="600" w:charSpace="36864"/>
        </w:sectPr>
      </w:pPr>
    </w:p>
    <w:tbl>
      <w:tblPr>
        <w:tblStyle w:val="afb"/>
        <w:tblW w:w="9210" w:type="dxa"/>
        <w:jc w:val="center"/>
        <w:tblInd w:w="0" w:type="dxa"/>
        <w:tblCellMar>
          <w:top w:w="0" w:type="dxa"/>
          <w:left w:w="108" w:type="dxa"/>
          <w:bottom w:w="0" w:type="dxa"/>
          <w:right w:w="108" w:type="dxa"/>
        </w:tblCellMar>
        <w:tblLook w:val="04a0" w:noHBand="0" w:noVBand="1" w:firstColumn="1" w:lastRow="0" w:lastColumn="0" w:firstRow="1"/>
      </w:tblPr>
      <w:tblGrid>
        <w:gridCol w:w="479"/>
        <w:gridCol w:w="3754"/>
        <w:gridCol w:w="4977"/>
      </w:tblGrid>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w:t>
            </w:r>
          </w:p>
        </w:tc>
        <w:tc>
          <w:tcPr>
            <w:tcW w:w="3754"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Наименование</w:t>
            </w:r>
            <w:r>
              <w:rPr>
                <w:rFonts w:eastAsia="" w:cs="Times New Roman" w:ascii="Palatino Linotype" w:hAnsi="Palatino Linotype" w:eastAsiaTheme="majorEastAsia"/>
                <w:lang w:val="ru-RU" w:eastAsia="en-US" w:bidi="en-US"/>
              </w:rPr>
              <w:t xml:space="preserve"> </w:t>
            </w:r>
            <w:r>
              <w:rPr>
                <w:rFonts w:eastAsia="" w:cs="Times New Roman" w:ascii="Palatino Linotype" w:hAnsi="Palatino Linotype" w:eastAsiaTheme="majorEastAsia"/>
                <w:lang w:val="en-US" w:eastAsia="en-US" w:bidi="en-US"/>
              </w:rPr>
              <w:t>Общества</w:t>
            </w:r>
            <w:r>
              <w:rPr>
                <w:rFonts w:eastAsia="" w:cs="Times New Roman" w:ascii="Palatino Linotype" w:hAnsi="Palatino Linotype" w:eastAsiaTheme="majorEastAsia"/>
                <w:lang w:val="ru-RU" w:eastAsia="en-US" w:bidi="en-US"/>
              </w:rPr>
              <w:t xml:space="preserve"> </w:t>
            </w:r>
            <w:r>
              <w:rPr>
                <w:rFonts w:eastAsia="" w:cs="Times New Roman" w:ascii="Palatino Linotype" w:hAnsi="Palatino Linotype" w:eastAsiaTheme="majorEastAsia"/>
                <w:lang w:val="en-US" w:eastAsia="en-US" w:bidi="en-US"/>
              </w:rPr>
              <w:t>-</w:t>
            </w:r>
            <w:r>
              <w:rPr>
                <w:rFonts w:eastAsia="" w:cs="Times New Roman" w:ascii="Palatino Linotype" w:hAnsi="Palatino Linotype" w:eastAsiaTheme="majorEastAsia"/>
                <w:lang w:val="ru-RU" w:eastAsia="en-US" w:bidi="en-US"/>
              </w:rPr>
              <w:t xml:space="preserve"> к</w:t>
            </w:r>
            <w:r>
              <w:rPr>
                <w:rFonts w:eastAsia="" w:cs="Times New Roman" w:ascii="Palatino Linotype" w:hAnsi="Palatino Linotype" w:eastAsiaTheme="majorEastAsia"/>
                <w:lang w:val="en-US" w:eastAsia="en-US" w:bidi="en-US"/>
              </w:rPr>
              <w:t>редитора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Общество с ограниченной ответственностью микрокредитная компания «</w:t>
            </w:r>
            <w:r>
              <w:rPr>
                <w:rFonts w:cs="Times New Roman" w:ascii="Palatino Linotype" w:hAnsi="Palatino Linotype"/>
                <w:lang w:val="ru-RU" w:eastAsia="en-US" w:bidi="en-US"/>
              </w:rPr>
              <w:t>Народная опора</w:t>
            </w:r>
            <w:r>
              <w:rPr>
                <w:rFonts w:eastAsia="" w:cs="Times New Roman" w:ascii="Palatino Linotype" w:hAnsi="Palatino Linotype" w:eastAsiaTheme="majorEastAsia"/>
                <w:lang w:val="ru-RU" w:eastAsia="en-US" w:bidi="en-US"/>
              </w:rPr>
              <w:t>»</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Место нахождения постоянно действующего исполнительного органа Общества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660135, Россия, Красноярский край, г. Красноярск, ул. Взлетная, д.5, стр.1, помещение 31 </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Контактный телефон, по которому осуществляется связь с Обществом</w:t>
            </w:r>
          </w:p>
        </w:tc>
        <w:tc>
          <w:tcPr>
            <w:tcW w:w="4977" w:type="dxa"/>
            <w:tcBorders/>
            <w:vAlign w:val="center"/>
          </w:tcPr>
          <w:p>
            <w:pPr>
              <w:pStyle w:val="NoSpacing"/>
              <w:jc w:val="both"/>
              <w:rPr>
                <w:rFonts w:ascii="Palatino Linotype" w:hAnsi="Palatino Linotype"/>
                <w:lang w:val="ru-RU"/>
              </w:rPr>
            </w:pPr>
            <w:r>
              <w:rPr>
                <w:rFonts w:cs="Times New Roman" w:ascii="Palatino Linotype" w:hAnsi="Palatino Linotype"/>
                <w:lang w:val="ru-RU" w:eastAsia="en-US" w:bidi="en-US"/>
              </w:rPr>
              <w:t>Тел. 8 933 200 0869</w:t>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4</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Официальный сайт Общества в информационно-телекоммуникационной сети "Интернет" </w:t>
            </w:r>
          </w:p>
        </w:tc>
        <w:tc>
          <w:tcPr>
            <w:tcW w:w="4977" w:type="dxa"/>
            <w:tcBorders/>
            <w:vAlign w:val="center"/>
          </w:tcPr>
          <w:p>
            <w:pPr>
              <w:pStyle w:val="NoSpacing"/>
              <w:jc w:val="both"/>
              <w:rPr>
                <w:rFonts w:ascii="Palatino Linotype" w:hAnsi="Palatino Linotype" w:eastAsia="" w:eastAsiaTheme="majorEastAsia"/>
              </w:rPr>
            </w:pPr>
            <w:r>
              <w:rPr>
                <w:rFonts w:cs="Times New Roman"/>
                <w:u w:val="single"/>
                <w:lang w:val="en-US" w:eastAsia="en-US" w:bidi="en-US"/>
              </w:rPr>
              <w:t>http://деньги-рядом.рф</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5</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 внесении сведений об обществе в государственный реестр микрофинансовых организаций</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Сведения об Обществе как кредиторе внесены в государственный реестр микрофинансовых организаций 13 февраля 2014 г. за номером 651403504004724</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6</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Микрозаймы предоставляются Обществом исключительно физическим лицам, отвечающим следующим требованиям:</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наличие гражданства Российской Федерации;</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отсутствие задолженности (неисполненных обязательств) перед Обществом по ранее принятым на себя заемщиком обязательствам;</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наличие у лица (заемщика) полной дееспособности (т.е. отсутствие решения суда о признании лица недееспособным или ограниченно дееспособным);</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отсутствие в момент подписания заявления и договора у заемщика состояния, когда он не способен понимать значение своих действий или руководить ими;</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наличие постоянного дохода.</w:t>
            </w:r>
          </w:p>
        </w:tc>
      </w:tr>
      <w:tr>
        <w:trPr>
          <w:trHeight w:val="1598"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7</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Рассмотрение оформленного заемщиком заявления о предоставлении потребительского микрозайма (далее - заявление) и принятие Обществом решения относительно этого заявления происходит в присутствии заемщика в день подачи заявления.  </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tc>
      </w:tr>
      <w:tr>
        <w:trPr>
          <w:trHeight w:val="1598"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8</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Порядок разъяснения условий договоров и иных документов в отношении финансовой услуги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Разъяснение условий договоров и иных документов в отношении финансовой услуги, которую получатель финансовой услуги намерен получить, осуществляется в следующем порядке:</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w:t>
            </w:r>
            <w:r>
              <w:rPr>
                <w:rFonts w:eastAsia="" w:cs="Times New Roman" w:ascii="Palatino Linotype" w:hAnsi="Palatino Linotype" w:eastAsiaTheme="majorEastAsia"/>
                <w:lang w:val="ru-RU" w:eastAsia="en-US" w:bidi="en-US"/>
              </w:rPr>
              <w:tab/>
              <w:t>Устно при заключении договора. Лицом, ответственным за предоставление соответствующих разъяснений, является кредитный эксперт.</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w:t>
            </w:r>
            <w:r>
              <w:rPr>
                <w:rFonts w:eastAsia="" w:cs="Times New Roman" w:ascii="Palatino Linotype" w:hAnsi="Palatino Linotype" w:eastAsiaTheme="majorEastAsia"/>
                <w:lang w:val="ru-RU" w:eastAsia="en-US" w:bidi="en-US"/>
              </w:rPr>
              <w:tab/>
              <w:t>Устно при обращении по контактному телефону.</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Лицом, ответственным за предоставление соответствующих разъяснений, является кредитный эксперт.</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w:t>
            </w:r>
            <w:r>
              <w:rPr>
                <w:rFonts w:eastAsia="" w:cs="Times New Roman" w:ascii="Palatino Linotype" w:hAnsi="Palatino Linotype" w:eastAsiaTheme="majorEastAsia"/>
                <w:lang w:val="ru-RU" w:eastAsia="en-US" w:bidi="en-US"/>
              </w:rPr>
              <w:tab/>
              <w:t xml:space="preserve">Письменно при направлении письменного обращения. </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Лицом, ответственным за предоставление соответствующих разъяснений, является юрист.</w:t>
            </w:r>
          </w:p>
        </w:tc>
      </w:tr>
      <w:tr>
        <w:trPr>
          <w:trHeight w:val="1598"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9</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Риски, связанные с заключением и исполнением заемщиком условий договора об оказании финансовой услуги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При заключении договора микрозайма следует обратить внимание на следующие риски:</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w:t>
            </w:r>
            <w:r>
              <w:rPr>
                <w:rFonts w:eastAsia="" w:cs="Times New Roman" w:ascii="Palatino Linotype" w:hAnsi="Palatino Linotype" w:eastAsiaTheme="majorEastAsia"/>
                <w:lang w:val="ru-RU" w:eastAsia="en-US" w:bidi="en-US"/>
              </w:rPr>
              <w:tab/>
              <w:t>В случае несвоевременного исполнения обязательств по договору, на сумму задолженности будет начислен штраф, что повлечет увеличение суммы расходов, по сравнению с ожидаемой суммой расходов.</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10</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Перечень документов, необходимых для рассмотрения заявления, в том числе для оценки кредитоспособности заемщика</w:t>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Для рассмотрения заявления Обществу предоставляется документ, удостоверяющий личность гражданина РФ на территории РФ, которым может быть Паспорт гражданина РФ, Удостоверение личности военнослужащего РФ, военный билет солдата, матроса, сержанта, старшины, прапорщика и мичмана.</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Для микрозайма «Пенсионный» - паспорт гражданина РФ и пенсионное удостоверение или справка о назначении пенсии.</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Для микрозайма «Родной» - паспорт гражданина РФ, копия трудовой книжки, заверенная работодателем (для пенсионеров – пенсионное удостоверение или справка о назначении пенсии), справка по форме 2-НДФЛ за текущий год (для пенсионеров - справка о доходах ПФ РФ), СНИЛС.</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Кредитоспособность заемщика оценивается по предоставленным им устным данным.</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11</w:t>
            </w:r>
          </w:p>
        </w:tc>
        <w:tc>
          <w:tcPr>
            <w:tcW w:w="3754"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Виды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Микрозаймы без обеспечения:</w:t>
            </w:r>
            <w:r>
              <w:rPr>
                <w:rFonts w:cs="Times New Roman" w:ascii="Palatino Linotype" w:hAnsi="Palatino Linotype"/>
                <w:lang w:val="ru-RU" w:eastAsia="en-US" w:bidi="en-US"/>
              </w:rPr>
              <w:t xml:space="preserve"> «Льготный», «Свои люди», «Первый пенсионный», «Пенсионный», «Родной», «Особый», «14 дней бесплатно».</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en-US" w:eastAsia="en-US" w:bidi="en-US"/>
              </w:rPr>
              <w:t>1</w:t>
            </w:r>
            <w:r>
              <w:rPr>
                <w:rFonts w:cs="Times New Roman" w:ascii="Palatino Linotype" w:hAnsi="Palatino Linotype"/>
                <w:b/>
                <w:lang w:val="ru-RU" w:eastAsia="en-US" w:bidi="en-US"/>
              </w:rPr>
              <w:t>2</w:t>
            </w:r>
          </w:p>
        </w:tc>
        <w:tc>
          <w:tcPr>
            <w:tcW w:w="3754" w:type="dxa"/>
            <w:tcBorders/>
            <w:vAlign w:val="center"/>
          </w:tcPr>
          <w:p>
            <w:pPr>
              <w:pStyle w:val="NoSpacing"/>
              <w:jc w:val="both"/>
              <w:rPr>
                <w:rFonts w:ascii="Palatino Linotype" w:hAnsi="Palatino Linotype" w:eastAsia="" w:eastAsiaTheme="majorEastAsia"/>
              </w:rPr>
            </w:pPr>
            <w:r>
              <w:rPr>
                <w:rFonts w:eastAsia="" w:cs="Times New Roman" w:eastAsiaTheme="majorEastAsia" w:ascii="Palatino Linotype" w:hAnsi="Palatino Linotype"/>
                <w:lang w:val="en-US" w:eastAsia="en-US" w:bidi="en-US"/>
              </w:rPr>
            </w:r>
          </w:p>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Суммы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микрозайму «Льготный» от 1 000 рублей до 15 000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По микрозайму «Свои люди» от 1 000 рублей до 30 000 рублей; </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По микрозайму</w:t>
            </w:r>
            <w:r>
              <w:rPr>
                <w:rFonts w:eastAsia="" w:cs="Times New Roman" w:ascii="Palatino Linotype" w:hAnsi="Palatino Linotype" w:eastAsiaTheme="majorEastAsia"/>
                <w:lang w:val="ru-RU" w:eastAsia="en-US" w:bidi="en-US"/>
              </w:rPr>
              <w:t xml:space="preserve"> «Пенсионный» от 1 000 до 30 000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микрозайму «Родной» - от 25 000 до 30 000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микрозайму «Первый пенсионный» - от 1 000 до 10 000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микрозайму «Особый» - от 5 000 до 30 000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микрозайму «14 дней бесплатно» - от 1 000 до 10 000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Сумма займа кратна 1 000 рублей.</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13</w:t>
            </w:r>
          </w:p>
        </w:tc>
        <w:tc>
          <w:tcPr>
            <w:tcW w:w="3754"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Сроки возврата потребительского займа</w:t>
            </w:r>
          </w:p>
          <w:p>
            <w:pPr>
              <w:pStyle w:val="NoSpacing"/>
              <w:jc w:val="both"/>
              <w:rPr>
                <w:rFonts w:ascii="Palatino Linotype" w:hAnsi="Palatino Linotype" w:eastAsia="" w:eastAsiaTheme="majorEastAsia"/>
              </w:rPr>
            </w:pPr>
            <w:r>
              <w:rPr>
                <w:rFonts w:eastAsia="" w:cs="Times New Roman" w:eastAsiaTheme="majorEastAsia" w:ascii="Palatino Linotype" w:hAnsi="Palatino Linotype"/>
                <w:lang w:val="en-US" w:eastAsia="en-US" w:bidi="en-US"/>
              </w:rPr>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По микрозаймам «Льготный», «Свои люди», «Пенсионный», «Первый пенсионный», «Родной», «Особый», «14 дней бесплатно» - от 2 до 21 дня. </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14</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Валюта, в которой предоставляется потребительский заем</w:t>
            </w:r>
          </w:p>
        </w:tc>
        <w:tc>
          <w:tcPr>
            <w:tcW w:w="4977"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Российский рубль</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15</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Способы предоставления потребительского займа, в том числе с использованием заемщиком электронных средств платежа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Займы предоставляются наличными денежными средствами в офисах из кассы Общества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16</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Процентные ставки в процентах годовых по договору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xml:space="preserve">- по микрозаймам «Льготный», «Свои люди» </w:t>
            </w:r>
            <w:r>
              <w:rPr>
                <w:rFonts w:eastAsia="" w:cs="Times New Roman" w:ascii="Palatino Linotype" w:hAnsi="Palatino Linotype" w:eastAsiaTheme="majorEastAsia"/>
                <w:lang w:val="ru-RU" w:eastAsia="en-US" w:bidi="en-US"/>
              </w:rPr>
              <w:t xml:space="preserve">- 365% годовых; </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по микрозайму «Пенсионный» -</w:t>
            </w:r>
            <w:r>
              <w:rPr>
                <w:rFonts w:eastAsia="" w:cs="Times New Roman" w:ascii="Palatino Linotype" w:hAnsi="Palatino Linotype" w:eastAsiaTheme="majorEastAsia"/>
                <w:lang w:val="ru-RU" w:eastAsia="en-US" w:bidi="en-US"/>
              </w:rPr>
              <w:t xml:space="preserve"> от 292% до 365% годовых;</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по микрозайму «14 дней бесплатно» -</w:t>
            </w:r>
            <w:r>
              <w:rPr>
                <w:rFonts w:eastAsia="" w:cs="Times New Roman" w:ascii="Palatino Linotype" w:hAnsi="Palatino Linotype" w:eastAsiaTheme="majorEastAsia"/>
                <w:lang w:val="ru-RU" w:eastAsia="en-US" w:bidi="en-US"/>
              </w:rPr>
              <w:t xml:space="preserve"> от 0% до 365% годовых;</w:t>
            </w:r>
          </w:p>
          <w:p>
            <w:pPr>
              <w:pStyle w:val="NoSpacing"/>
              <w:jc w:val="both"/>
              <w:rPr>
                <w:rFonts w:ascii="Palatino Linotype" w:hAnsi="Palatino Linotype"/>
                <w:lang w:val="ru-RU"/>
              </w:rPr>
            </w:pPr>
            <w:r>
              <w:rPr>
                <w:rFonts w:cs="Times New Roman" w:ascii="Palatino Linotype" w:hAnsi="Palatino Linotype"/>
                <w:lang w:val="ru-RU" w:eastAsia="en-US" w:bidi="en-US"/>
              </w:rPr>
              <w:t>- по микрозайму «Родной» - 255,5% годовых;</w:t>
            </w:r>
          </w:p>
          <w:p>
            <w:pPr>
              <w:pStyle w:val="NoSpacing"/>
              <w:jc w:val="both"/>
              <w:rPr>
                <w:rFonts w:ascii="Palatino Linotype" w:hAnsi="Palatino Linotype"/>
                <w:lang w:val="ru-RU"/>
              </w:rPr>
            </w:pPr>
            <w:r>
              <w:rPr>
                <w:rFonts w:cs="Times New Roman" w:ascii="Palatino Linotype" w:hAnsi="Palatino Linotype"/>
                <w:lang w:val="ru-RU" w:eastAsia="en-US" w:bidi="en-US"/>
              </w:rPr>
              <w:t xml:space="preserve">- по микрозайму «Особый» - </w:t>
            </w:r>
            <w:r>
              <w:rPr>
                <w:rFonts w:eastAsia="" w:cs="Times New Roman" w:ascii="Palatino Linotype" w:hAnsi="Palatino Linotype" w:eastAsiaTheme="majorEastAsia"/>
                <w:lang w:val="ru-RU" w:eastAsia="en-US" w:bidi="en-US"/>
              </w:rPr>
              <w:t>292</w:t>
            </w:r>
            <w:r>
              <w:rPr>
                <w:rFonts w:cs="Times New Roman" w:ascii="Palatino Linotype" w:hAnsi="Palatino Linotype"/>
                <w:lang w:val="ru-RU" w:eastAsia="en-US" w:bidi="en-US"/>
              </w:rPr>
              <w:t>% годовых;</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по микрозайму «Первый пенсионный» - 182,5% годовых.</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17</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Начисление процентов по договору потребительского займа</w:t>
            </w:r>
          </w:p>
        </w:tc>
        <w:tc>
          <w:tcPr>
            <w:tcW w:w="4977" w:type="dxa"/>
            <w:tcBorders/>
            <w:vAlign w:val="center"/>
          </w:tcPr>
          <w:p>
            <w:pPr>
              <w:pStyle w:val="Normal"/>
              <w:tabs>
                <w:tab w:val="clear" w:pos="720"/>
                <w:tab w:val="left" w:pos="1276" w:leader="none"/>
              </w:tabs>
              <w:spacing w:lineRule="auto" w:line="240" w:before="0" w:after="0"/>
              <w:rPr>
                <w:rFonts w:ascii="Palatino Linotype" w:hAnsi="Palatino Linotype"/>
                <w:lang w:val="ru-RU"/>
              </w:rPr>
            </w:pPr>
            <w:r>
              <w:rPr>
                <w:rFonts w:cs="Times New Roman" w:ascii="Palatino Linotype" w:hAnsi="Palatino Linotype"/>
                <w:lang w:val="ru-RU" w:eastAsia="en-US" w:bidi="en-US"/>
              </w:rPr>
              <w:t>По договору потребительского займа, срок возврата потребительского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достигнет одного с половиной размера суммы предоставленного потребительского займа.</w:t>
            </w:r>
          </w:p>
          <w:p>
            <w:pPr>
              <w:pStyle w:val="NoSpacing"/>
              <w:jc w:val="both"/>
              <w:rPr>
                <w:rFonts w:ascii="Palatino Linotype" w:hAnsi="Palatino Linotype"/>
                <w:lang w:val="ru-RU"/>
              </w:rPr>
            </w:pPr>
            <w:r>
              <w:rPr>
                <w:rFonts w:eastAsia="Times New Roman" w:cs="Times New Roman" w:ascii="Palatino Linotype" w:hAnsi="Palatino Linotype"/>
                <w:lang w:val="ru-RU" w:eastAsia="ru-RU" w:bidi="en-US"/>
              </w:rPr>
              <w:t>Общество вправе не начислять/остановить начисление заемщику процентов по договору микрозайма и в любой иной момент до достижения указанных ограничений.</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18</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Порядок определения даты, начиная с которой начисляются проценты за пользование потребительским займом</w:t>
            </w:r>
          </w:p>
        </w:tc>
        <w:tc>
          <w:tcPr>
            <w:tcW w:w="4977" w:type="dxa"/>
            <w:tcBorders/>
            <w:vAlign w:val="center"/>
          </w:tcPr>
          <w:p>
            <w:pPr>
              <w:pStyle w:val="NoSpacing"/>
              <w:jc w:val="both"/>
              <w:rPr>
                <w:rFonts w:ascii="Palatino Linotype" w:hAnsi="Palatino Linotype"/>
                <w:lang w:val="ru-RU"/>
              </w:rPr>
            </w:pPr>
            <w:r>
              <w:rPr>
                <w:rFonts w:eastAsia="" w:cs="Times New Roman" w:ascii="Palatino Linotype" w:hAnsi="Palatino Linotype" w:eastAsiaTheme="majorEastAsia"/>
                <w:lang w:val="ru-RU" w:eastAsia="en-US" w:bidi="en-US"/>
              </w:rPr>
              <w:t>Датой, начиная с которой начисляются проценты за пользование потребительским займом, является дата, следующая за днем  выдачи заемщику суммы микрозайма.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19</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Виды иных платежей заемщика по договору потребительского займа </w:t>
            </w:r>
          </w:p>
        </w:tc>
        <w:tc>
          <w:tcPr>
            <w:tcW w:w="4977"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Отсутствуют</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20</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Суммы иных платежей заемщика по договору потребительского займа </w:t>
            </w:r>
          </w:p>
        </w:tc>
        <w:tc>
          <w:tcPr>
            <w:tcW w:w="4977"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Отсутствуют</w:t>
            </w:r>
          </w:p>
        </w:tc>
      </w:tr>
      <w:tr>
        <w:trPr>
          <w:trHeight w:val="558"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21</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Диапазоны значений полной стоимости потребительского займа, определенных с учетом требований Федерального закона №353-ФЗ </w:t>
            </w:r>
            <w:r>
              <w:rPr>
                <w:rFonts w:cs="Palatino Linotype" w:ascii="Palatino Linotype" w:hAnsi="Palatino Linotype"/>
                <w:lang w:val="ru-RU" w:eastAsia="en-US" w:bidi="en-US"/>
              </w:rPr>
              <w:t xml:space="preserve">от 21.12.2013 </w:t>
            </w:r>
            <w:r>
              <w:rPr>
                <w:rFonts w:eastAsia="" w:cs="Times New Roman" w:ascii="Palatino Linotype" w:hAnsi="Palatino Linotype" w:eastAsiaTheme="majorEastAsia"/>
                <w:lang w:val="ru-RU" w:eastAsia="en-US" w:bidi="en-US"/>
              </w:rPr>
              <w:t>по видам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xml:space="preserve">- по микрозаймам «Льготный», «Свои люди» </w:t>
            </w:r>
            <w:r>
              <w:rPr>
                <w:rFonts w:eastAsia="" w:cs="Times New Roman" w:ascii="Palatino Linotype" w:hAnsi="Palatino Linotype" w:eastAsiaTheme="majorEastAsia"/>
                <w:lang w:val="ru-RU" w:eastAsia="en-US" w:bidi="en-US"/>
              </w:rPr>
              <w:t xml:space="preserve">- 365% годовых; </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по микрозайму «Пенсионный» -</w:t>
            </w:r>
            <w:r>
              <w:rPr>
                <w:rFonts w:eastAsia="" w:cs="Times New Roman" w:ascii="Palatino Linotype" w:hAnsi="Palatino Linotype" w:eastAsiaTheme="majorEastAsia"/>
                <w:lang w:val="ru-RU" w:eastAsia="en-US" w:bidi="en-US"/>
              </w:rPr>
              <w:t xml:space="preserve"> от 292% до 365% годовых;</w:t>
            </w:r>
          </w:p>
          <w:p>
            <w:pPr>
              <w:pStyle w:val="NoSpacing"/>
              <w:jc w:val="both"/>
              <w:rPr>
                <w:rFonts w:ascii="Palatino Linotype" w:hAnsi="Palatino Linotype" w:eastAsia="" w:eastAsiaTheme="majorEastAsia"/>
                <w:lang w:val="ru-RU"/>
              </w:rPr>
            </w:pPr>
            <w:r>
              <w:rPr>
                <w:rFonts w:cs="Times New Roman" w:ascii="Palatino Linotype" w:hAnsi="Palatino Linotype"/>
                <w:lang w:val="ru-RU" w:eastAsia="en-US" w:bidi="en-US"/>
              </w:rPr>
              <w:t>- по микрозайму «14 дней бесплатно» -</w:t>
            </w:r>
            <w:r>
              <w:rPr>
                <w:rFonts w:eastAsia="" w:cs="Times New Roman" w:ascii="Palatino Linotype" w:hAnsi="Palatino Linotype" w:eastAsiaTheme="majorEastAsia"/>
                <w:lang w:val="ru-RU" w:eastAsia="en-US" w:bidi="en-US"/>
              </w:rPr>
              <w:t xml:space="preserve"> от 0% до 365% годовых;</w:t>
            </w:r>
          </w:p>
          <w:p>
            <w:pPr>
              <w:pStyle w:val="NoSpacing"/>
              <w:jc w:val="both"/>
              <w:rPr>
                <w:rFonts w:ascii="Palatino Linotype" w:hAnsi="Palatino Linotype"/>
                <w:lang w:val="ru-RU"/>
              </w:rPr>
            </w:pPr>
            <w:r>
              <w:rPr>
                <w:rFonts w:cs="Times New Roman" w:ascii="Palatino Linotype" w:hAnsi="Palatino Linotype"/>
                <w:lang w:val="ru-RU" w:eastAsia="en-US" w:bidi="en-US"/>
              </w:rPr>
              <w:t>- по микрозайму «Родной» - 255,5% годовых;</w:t>
            </w:r>
          </w:p>
          <w:p>
            <w:pPr>
              <w:pStyle w:val="NoSpacing"/>
              <w:jc w:val="both"/>
              <w:rPr>
                <w:rFonts w:ascii="Palatino Linotype" w:hAnsi="Palatino Linotype"/>
                <w:lang w:val="ru-RU"/>
              </w:rPr>
            </w:pPr>
            <w:r>
              <w:rPr>
                <w:rFonts w:cs="Times New Roman" w:ascii="Palatino Linotype" w:hAnsi="Palatino Linotype"/>
                <w:lang w:val="ru-RU" w:eastAsia="en-US" w:bidi="en-US"/>
              </w:rPr>
              <w:t xml:space="preserve">- по микрозайму «Особый» - </w:t>
            </w:r>
            <w:r>
              <w:rPr>
                <w:rFonts w:eastAsia="" w:cs="Times New Roman" w:ascii="Palatino Linotype" w:hAnsi="Palatino Linotype" w:eastAsiaTheme="majorEastAsia"/>
                <w:lang w:val="ru-RU" w:eastAsia="en-US" w:bidi="en-US"/>
              </w:rPr>
              <w:t>292</w:t>
            </w:r>
            <w:r>
              <w:rPr>
                <w:rFonts w:cs="Times New Roman" w:ascii="Palatino Linotype" w:hAnsi="Palatino Linotype"/>
                <w:lang w:val="ru-RU" w:eastAsia="en-US" w:bidi="en-US"/>
              </w:rPr>
              <w:t>% годовых;</w:t>
            </w:r>
          </w:p>
          <w:p>
            <w:pPr>
              <w:pStyle w:val="NoSpacing"/>
              <w:jc w:val="both"/>
              <w:rPr>
                <w:rFonts w:ascii="Palatino Linotype" w:hAnsi="Palatino Linotype" w:eastAsia="" w:eastAsiaTheme="majorEastAsia"/>
                <w:i/>
                <w:i/>
                <w:lang w:val="ru-RU"/>
              </w:rPr>
            </w:pPr>
            <w:r>
              <w:rPr>
                <w:rFonts w:cs="Times New Roman" w:ascii="Palatino Linotype" w:hAnsi="Palatino Linotype"/>
                <w:lang w:val="ru-RU" w:eastAsia="en-US" w:bidi="en-US"/>
              </w:rPr>
              <w:t>- по микрозайму «Первый пенсионный» - 182,5% годовых.</w:t>
            </w:r>
            <w:r>
              <w:rPr>
                <w:rFonts w:eastAsia="" w:cs="Times New Roman" w:ascii="Palatino Linotype" w:hAnsi="Palatino Linotype" w:eastAsiaTheme="majorEastAsia"/>
                <w:i/>
                <w:lang w:val="ru-RU" w:eastAsia="en-US" w:bidi="en-US"/>
              </w:rPr>
              <w:t xml:space="preserve"> </w:t>
            </w:r>
          </w:p>
          <w:p>
            <w:pPr>
              <w:pStyle w:val="NoSpacing"/>
              <w:jc w:val="both"/>
              <w:rPr>
                <w:rFonts w:ascii="Palatino Linotype" w:hAnsi="Palatino Linotype" w:eastAsia="" w:eastAsiaTheme="majorEastAsia"/>
                <w:i/>
                <w:i/>
                <w:lang w:val="ru-RU"/>
              </w:rPr>
            </w:pPr>
            <w:r>
              <w:rPr>
                <w:rFonts w:eastAsia="" w:cs="Times New Roman" w:ascii="Palatino Linotype" w:hAnsi="Palatino Linotype" w:eastAsiaTheme="majorEastAsia"/>
                <w:i/>
                <w:lang w:val="ru-RU" w:eastAsia="en-US" w:bidi="en-US"/>
              </w:rPr>
              <w:t>(рассчитываются по ч.2 ст.6 Федерального закона №353-ФЗ от 21.12.2013)</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22</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Периодичность платежей заемщика</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при возврате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Возврат суммы микрозайма происходит единовременно в день, определенный в индивидуальных условиях договора потребительского микрозайма</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23</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Периодичность платежей заемщика</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при уплате процентов  </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Проценты за пользование микрозаймом уплачиваются заемщиком одновременно с возвратом суммы микрозайма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24</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Периодичность </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иных платежей заемщика по займу (при наличии)</w:t>
            </w:r>
          </w:p>
        </w:tc>
        <w:tc>
          <w:tcPr>
            <w:tcW w:w="4977"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Отсутствуют</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25</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Пролонгация (продление) договора потребительского займа</w:t>
            </w:r>
          </w:p>
        </w:tc>
        <w:tc>
          <w:tcPr>
            <w:tcW w:w="4977" w:type="dxa"/>
            <w:tcBorders/>
            <w:vAlign w:val="center"/>
          </w:tcPr>
          <w:p>
            <w:pPr>
              <w:pStyle w:val="Normal"/>
              <w:tabs>
                <w:tab w:val="clear" w:pos="720"/>
                <w:tab w:val="left" w:pos="474" w:leader="none"/>
              </w:tabs>
              <w:spacing w:lineRule="auto" w:line="240" w:before="0" w:after="0"/>
              <w:rPr>
                <w:rFonts w:ascii="Palatino Linotype" w:hAnsi="Palatino Linotype" w:eastAsia="Times New Roman"/>
                <w:lang w:val="ru-RU"/>
              </w:rPr>
            </w:pPr>
            <w:r>
              <w:rPr>
                <w:rFonts w:eastAsia="Times New Roman" w:cs="Times New Roman" w:ascii="Palatino Linotype" w:hAnsi="Palatino Linotype"/>
                <w:lang w:val="ru-RU" w:eastAsia="en-US" w:bidi="en-US"/>
              </w:rPr>
              <w:t>Пролонгация (продление) договора потребительского займа означает изменение срока действия договора потребительского займа и продление его на дополнительные 14 дней. Погашение суммы займа и уплата процентов на сумму займа в данном случае осуществляется на основании Изменений к Индивидуальным условиям договора потребительского микрозайма, содержащим уточненный график платежей.</w:t>
            </w:r>
          </w:p>
          <w:p>
            <w:pPr>
              <w:pStyle w:val="ListParagraph"/>
              <w:tabs>
                <w:tab w:val="clear" w:pos="720"/>
                <w:tab w:val="left" w:pos="474" w:leader="none"/>
                <w:tab w:val="left" w:pos="1134" w:leader="none"/>
              </w:tabs>
              <w:spacing w:before="0" w:after="0"/>
              <w:ind w:left="0" w:hanging="0"/>
              <w:contextualSpacing/>
              <w:rPr>
                <w:rFonts w:ascii="Palatino Linotype" w:hAnsi="Palatino Linotype"/>
                <w:sz w:val="22"/>
                <w:lang w:val="ru-RU"/>
              </w:rPr>
            </w:pPr>
            <w:r>
              <w:rPr>
                <w:rFonts w:eastAsia="Times New Roman" w:cs="Times New Roman" w:ascii="Palatino Linotype" w:hAnsi="Palatino Linotype"/>
                <w:sz w:val="22"/>
                <w:lang w:val="ru-RU" w:eastAsia="en-US" w:bidi="en-US"/>
              </w:rPr>
              <w:t xml:space="preserve">Пролонгация (продление) договора потребительского займа </w:t>
            </w:r>
            <w:r>
              <w:rPr>
                <w:rFonts w:cs="Times New Roman" w:ascii="Palatino Linotype" w:hAnsi="Palatino Linotype"/>
                <w:sz w:val="22"/>
                <w:lang w:val="ru-RU" w:eastAsia="en-US" w:bidi="en-US"/>
              </w:rPr>
              <w:t xml:space="preserve">допускается при одновременном соблюдении следующих условий:   </w:t>
            </w:r>
          </w:p>
          <w:p>
            <w:pPr>
              <w:pStyle w:val="Normal"/>
              <w:tabs>
                <w:tab w:val="clear" w:pos="720"/>
                <w:tab w:val="left" w:pos="474" w:leader="none"/>
              </w:tabs>
              <w:spacing w:lineRule="auto" w:line="240" w:before="0" w:after="0"/>
              <w:rPr>
                <w:rFonts w:ascii="Palatino Linotype" w:hAnsi="Palatino Linotype" w:eastAsia="Times New Roman"/>
                <w:lang w:val="ru-RU"/>
              </w:rPr>
            </w:pPr>
            <w:r>
              <w:rPr>
                <w:rFonts w:eastAsia="Times New Roman" w:cs="Times New Roman" w:ascii="Times New Roman" w:hAnsi="Times New Roman"/>
                <w:sz w:val="18"/>
                <w:szCs w:val="18"/>
                <w:lang w:val="ru-RU" w:eastAsia="ru-RU" w:bidi="en-US"/>
              </w:rPr>
              <w:t xml:space="preserve">- </w:t>
            </w:r>
            <w:r>
              <w:rPr>
                <w:rFonts w:eastAsia="Times New Roman" w:cs="Times New Roman" w:ascii="Palatino Linotype" w:hAnsi="Palatino Linotype"/>
                <w:lang w:val="ru-RU" w:eastAsia="en-US" w:bidi="en-US"/>
              </w:rPr>
              <w:t>Последний платеж по оплате суммы микрозайма (суммы основного долга), установленный Графиком платежей, Клиентом оплачен не полностью;</w:t>
            </w:r>
          </w:p>
          <w:p>
            <w:pPr>
              <w:pStyle w:val="Normal"/>
              <w:tabs>
                <w:tab w:val="clear" w:pos="720"/>
                <w:tab w:val="left" w:pos="474" w:leader="none"/>
              </w:tabs>
              <w:spacing w:lineRule="auto" w:line="240" w:before="0" w:after="0"/>
              <w:rPr>
                <w:rFonts w:ascii="Palatino Linotype" w:hAnsi="Palatino Linotype" w:eastAsia="Times New Roman"/>
                <w:lang w:val="ru-RU"/>
              </w:rPr>
            </w:pPr>
            <w:r>
              <w:rPr>
                <w:rFonts w:eastAsia="Times New Roman" w:cs="Times New Roman" w:ascii="Palatino Linotype" w:hAnsi="Palatino Linotype"/>
                <w:lang w:val="ru-RU" w:eastAsia="en-US" w:bidi="en-US"/>
              </w:rPr>
              <w:t>- Проценты на сумму микрозайма уплачены Клиентом без нарушения сроков, установленных Графиком платежей;                                                                    - Предоставленная Клиентом информация является достоверной;</w:t>
            </w:r>
          </w:p>
          <w:p>
            <w:pPr>
              <w:pStyle w:val="Normal"/>
              <w:tabs>
                <w:tab w:val="clear" w:pos="720"/>
                <w:tab w:val="left" w:pos="474" w:leader="none"/>
              </w:tabs>
              <w:spacing w:lineRule="auto" w:line="240" w:before="0" w:after="0"/>
              <w:rPr>
                <w:rFonts w:ascii="Palatino Linotype" w:hAnsi="Palatino Linotype" w:eastAsia="Times New Roman"/>
                <w:lang w:val="ru-RU"/>
              </w:rPr>
            </w:pPr>
            <w:r>
              <w:rPr>
                <w:rFonts w:eastAsia="Times New Roman" w:cs="Times New Roman" w:ascii="Palatino Linotype" w:hAnsi="Palatino Linotype"/>
                <w:lang w:val="ru-RU" w:eastAsia="en-US" w:bidi="en-US"/>
              </w:rPr>
              <w:t>- От Общества Клиенту не направлено уведомление о возврате суммы займа и об отказе от продления договора в связи с наличием оснований для расторжения договора микрозайма и/или досрочного возврата суммы микрозайма и начисленных процентов;</w:t>
            </w:r>
          </w:p>
          <w:p>
            <w:pPr>
              <w:pStyle w:val="Normal"/>
              <w:tabs>
                <w:tab w:val="clear" w:pos="720"/>
                <w:tab w:val="left" w:pos="474" w:leader="none"/>
              </w:tabs>
              <w:spacing w:lineRule="auto" w:line="240" w:before="0" w:after="0"/>
              <w:rPr>
                <w:rFonts w:ascii="Palatino Linotype" w:hAnsi="Palatino Linotype" w:eastAsia="Times New Roman"/>
                <w:lang w:val="ru-RU"/>
              </w:rPr>
            </w:pPr>
            <w:r>
              <w:rPr>
                <w:rFonts w:eastAsia="Times New Roman" w:cs="Times New Roman" w:ascii="Palatino Linotype" w:hAnsi="Palatino Linotype"/>
                <w:lang w:val="ru-RU" w:eastAsia="en-US" w:bidi="en-US"/>
              </w:rPr>
              <w:t>- Отсутствуют иные основания, предусмотренные договором и действующим законодательством для расторжения договора микрозайма и/или досрочного возврата суммы микрозайма и начисленных процентов.</w:t>
            </w:r>
          </w:p>
          <w:p>
            <w:pPr>
              <w:pStyle w:val="ListParagraph"/>
              <w:tabs>
                <w:tab w:val="clear" w:pos="720"/>
                <w:tab w:val="left" w:pos="0" w:leader="none"/>
                <w:tab w:val="left" w:pos="426" w:leader="none"/>
                <w:tab w:val="left" w:pos="567" w:leader="none"/>
              </w:tabs>
              <w:spacing w:before="0" w:after="0"/>
              <w:ind w:left="0" w:hanging="0"/>
              <w:contextualSpacing/>
              <w:rPr>
                <w:rFonts w:ascii="Palatino Linotype" w:hAnsi="Palatino Linotype" w:eastAsia="Times New Roman"/>
                <w:sz w:val="22"/>
                <w:lang w:val="ru-RU"/>
              </w:rPr>
            </w:pPr>
            <w:r>
              <w:rPr>
                <w:rFonts w:eastAsia="Times New Roman" w:cs="Times New Roman" w:ascii="Palatino Linotype" w:hAnsi="Palatino Linotype"/>
                <w:sz w:val="22"/>
                <w:lang w:val="ru-RU" w:eastAsia="en-US" w:bidi="en-US"/>
              </w:rPr>
              <w:t>Максимальное число пролонгаций договора потребительского микрозайма не может составлять более 5 (пяти) в течение 1 (одного) года.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26</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Способы возврата заемщиком потребительского займа, уплаты процентов по нему</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en-US" w:eastAsia="en-US" w:bidi="en-US"/>
              </w:rPr>
              <w:t xml:space="preserve">Исполнение заемщиком обязательств по договору потребительского микрозайма может осуществляться любыми приемлемыми для заемщика способами, информация о которых размещена на Официальном сайте Общества в информационно-телекоммуникационной сети «Интернет» по адресу            </w:t>
            </w:r>
            <w:r>
              <w:rPr>
                <w:rFonts w:cs="Times New Roman"/>
                <w:u w:val="single"/>
                <w:lang w:val="en-US" w:eastAsia="en-US" w:bidi="en-US"/>
              </w:rPr>
              <w:t>http://деньги-рядом.рф</w:t>
            </w:r>
            <w:r>
              <w:rPr>
                <w:rStyle w:val="InternetLink"/>
                <w:rFonts w:cs="Times New Roman" w:ascii="Palatino Linotype" w:hAnsi="Palatino Linotype"/>
                <w:color w:val="000000" w:themeColor="text1"/>
                <w:lang w:val="en-US" w:eastAsia="en-US" w:bidi="en-US"/>
              </w:rPr>
              <w:t>,</w:t>
            </w:r>
            <w:r>
              <w:rPr>
                <w:rFonts w:eastAsia="" w:cs="Times New Roman" w:ascii="Palatino Linotype" w:hAnsi="Palatino Linotype" w:eastAsiaTheme="majorEastAsia"/>
                <w:lang w:val="en-US" w:eastAsia="en-US" w:bidi="en-US"/>
              </w:rPr>
              <w:t xml:space="preserve"> в том числе путем внесения денежных средств в кассу Общества, путем внесения денежных средств через платежные терминалы, указанные на сайте Общества.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27</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Бесплатный способ исполнения заемщиком обязательств по договору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Заемщик может бесплатно исполнить обязательства по договору потребительского микрозайма в офисе Общества, расположенном в месте получения заемщиком оферты, а также в любом ином обособленном подразделении Общества на территории Российской Федерации. </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микрозайма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28</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Сроки, в течение которых заемщик вправе отказаться от получения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Заемщик вправе отказаться от получения потребительского микрозайма полностью или частично, уведомив об этом Общество способом, который использовался для подачи заявления о предоставлении потребительского микрозайма, с момента предоставления Обществом заемщику индивидуальных условий договора потребительского микрозайма и до момента получения денежных средств. </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en-US" w:eastAsia="en-US" w:bidi="en-US"/>
              </w:rPr>
              <w:t>2</w:t>
            </w:r>
            <w:r>
              <w:rPr>
                <w:rFonts w:cs="Times New Roman" w:ascii="Palatino Linotype" w:hAnsi="Palatino Linotype"/>
                <w:b/>
                <w:lang w:val="ru-RU" w:eastAsia="en-US" w:bidi="en-US"/>
              </w:rPr>
              <w:t>9</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Способы обеспечения исполнения обязательств по договору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Неустойка (штраф)</w:t>
            </w:r>
          </w:p>
          <w:p>
            <w:pPr>
              <w:pStyle w:val="NoSpacing"/>
              <w:jc w:val="both"/>
              <w:rPr>
                <w:rFonts w:ascii="Palatino Linotype" w:hAnsi="Palatino Linotype" w:eastAsia="" w:eastAsiaTheme="majorEastAsia"/>
                <w:highlight w:val="yellow"/>
                <w:lang w:val="ru-RU"/>
              </w:rPr>
            </w:pPr>
            <w:r>
              <w:rPr>
                <w:rFonts w:eastAsia="" w:cs="Times New Roman" w:eastAsiaTheme="majorEastAsia" w:ascii="Palatino Linotype" w:hAnsi="Palatino Linotype"/>
                <w:highlight w:val="yellow"/>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30</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В качестве меры ответственности за ненадлежащее исполнение обязательств по договору потребительского микрозайма Обществом применяется неустойка в виде штрафа, начисление которой начинается с первого дня ненадлежащего исполнения обязательств (просрочки платежа)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31</w:t>
            </w:r>
          </w:p>
        </w:tc>
        <w:tc>
          <w:tcPr>
            <w:tcW w:w="3754" w:type="dxa"/>
            <w:tcBorders/>
            <w:vAlign w:val="center"/>
          </w:tcPr>
          <w:p>
            <w:pPr>
              <w:pStyle w:val="NoSpacing"/>
              <w:jc w:val="both"/>
              <w:rPr>
                <w:rFonts w:ascii="Palatino Linotype" w:hAnsi="Palatino Linotype" w:eastAsia="" w:eastAsiaTheme="majorEastAsia"/>
              </w:rPr>
            </w:pPr>
            <w:r>
              <w:rPr>
                <w:rFonts w:eastAsia="" w:cs="Times New Roman" w:ascii="Palatino Linotype" w:hAnsi="Palatino Linotype" w:eastAsiaTheme="majorEastAsia"/>
                <w:lang w:val="en-US" w:eastAsia="en-US" w:bidi="en-US"/>
              </w:rPr>
              <w:t xml:space="preserve">Размеры неустойки (штрафа) </w:t>
            </w:r>
          </w:p>
        </w:tc>
        <w:tc>
          <w:tcPr>
            <w:tcW w:w="4977" w:type="dxa"/>
            <w:tcBorders/>
            <w:vAlign w:val="center"/>
          </w:tcPr>
          <w:p>
            <w:pPr>
              <w:pStyle w:val="NoSpacing"/>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В случае нарушения заемщиком установленных сроков уплаты платежей, заемщик обязан уплатить штраф, который Общество вправе устанавливать и взыскивать за каждый случай возникновения задолженности в следующем порядке:</w:t>
            </w:r>
          </w:p>
          <w:p>
            <w:pPr>
              <w:pStyle w:val="NoSpacing"/>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свыше 1 календарного дня просроченной задолженности 500 рублей;</w:t>
            </w:r>
          </w:p>
          <w:p>
            <w:pPr>
              <w:pStyle w:val="NoSpacing"/>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свыше 7 календарных дней просроченной задолженности 1000 рублей;</w:t>
            </w:r>
          </w:p>
          <w:p>
            <w:pPr>
              <w:pStyle w:val="NoSpacing"/>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свыше 14 календарных дней просроченной задолженности 1500 рублей;</w:t>
            </w:r>
          </w:p>
          <w:p>
            <w:pPr>
              <w:pStyle w:val="NoSpacing"/>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свыше 21 календарного дня просрочки и каждые последующие 7 дней просрочки 2000 рублей.</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Общий размер штрафа не может превышать 20% годовых от суммы просроченной задолженности по договору потребительского микрозайма.</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32</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Способы и адреса для направления обращений заемщиком, в том числе о возможности направления обращений в саморегулируемую организацию и в Банк России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Обращения в Общество могут быть направлены:</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1.</w:t>
              <w:tab/>
              <w:t>Устно по контактному телефону Общества;</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2.</w:t>
              <w:tab/>
              <w:t>Письменно по адресу нахождения Общества либо по адресу любого его обособленного подразделения.</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Обращение может быть также направлено в:</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1.</w:t>
              <w:tab/>
              <w:t>СРО «МиР». Контактная информация размещена на сайте: http://www.npmir.ru/</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2.</w:t>
              <w:tab/>
              <w:t>Банк России. Контактная информация размещена на сайте: https://www.cbr.ru/</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33</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Способы защиты прав заемщика, а также возможности и способы досудебного урегулирования спора, в том числе путем проведения процедуры медиации.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Заемщик, с целью защиты своих прав, а также с целью досудебного урегулирования спора, вправе обратиться в Общество с соответствующим заявлением.</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При нарушении заемщиком сроков возврата основной суммы долга и (или) уплаты процентов по договору займа, Общество направляет заемщику способом, предусмотренным в соответствующем договоре займа, по выбору Общества, претензию для разрешения спора в досудебном порядке.</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34</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об иных договорах, которые заемщик обязан заключить</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Для получения микрозайма заключение дополнительных договоров не требуется</w:t>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35</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об иных услугах, которые заемщик обязан получить в связи с договором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Заемщик не обязан получать иные услуги в связи с заключением договора потребительского микрозайма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36</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 возможности заемщика согласиться с заключением таких договоров и (или) оказанием таких услуг либо отказаться от них</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Для получения микрозайма наличными денежными средствами заключение дополнительных договоров не требуется</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37</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 заключаемым между Обществом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38</w:t>
            </w:r>
          </w:p>
        </w:tc>
        <w:tc>
          <w:tcPr>
            <w:tcW w:w="3754" w:type="dxa"/>
            <w:tcBorders/>
            <w:vAlign w:val="center"/>
          </w:tcPr>
          <w:p>
            <w:pPr>
              <w:pStyle w:val="Normal"/>
              <w:spacing w:lineRule="auto" w:line="240" w:before="0" w:after="0"/>
              <w:rPr>
                <w:rFonts w:ascii="Palatino Linotype" w:hAnsi="Palatino Linotype" w:eastAsia="" w:eastAsiaTheme="majorEastAsia"/>
                <w:lang w:val="ru-RU"/>
              </w:rPr>
            </w:pPr>
            <w:r>
              <w:rPr>
                <w:rFonts w:cs="Palatino Linotype" w:ascii="Palatino Linotype" w:hAnsi="Palatino Linotype"/>
                <w:bCs/>
                <w:lang w:val="ru-RU" w:eastAsia="en-US" w:bidi="en-US"/>
              </w:rPr>
              <w:t>Информация о том, что изменение курса иностранной валюты в прошлом не свидетельствует об изменении ее курса в будущем</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Обществом не выдаются потребительские займы в иностранной валюте. </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39</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Информация о возможности запрета уступки Обществом третьим лицам прав (требований) по договору потребительского займа</w:t>
            </w:r>
          </w:p>
        </w:tc>
        <w:tc>
          <w:tcPr>
            <w:tcW w:w="4977" w:type="dxa"/>
            <w:tcBorders/>
            <w:vAlign w:val="center"/>
          </w:tcPr>
          <w:p>
            <w:pPr>
              <w:pStyle w:val="NoSpacing"/>
              <w:jc w:val="both"/>
              <w:rPr>
                <w:rFonts w:ascii="Palatino Linotype" w:hAnsi="Palatino Linotype"/>
                <w:lang w:val="ru-RU"/>
              </w:rPr>
            </w:pPr>
            <w:r>
              <w:rPr>
                <w:rFonts w:cs="Times New Roman" w:ascii="Palatino Linotype" w:hAnsi="Palatino Linotype"/>
                <w:lang w:val="ru-RU" w:eastAsia="en-US" w:bidi="en-US"/>
              </w:rPr>
              <w:t>Заемщик имеет возможность установить запрет на совершение уступки кредитором третьим лицам права требования по договору потребительского займа, путем направления кредитору соответствующего письменного уведомления.</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40</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Заемщик вправе использовать полученный микрозайм на любые цели. Обществу не требуются документы об использовании микрозайма</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41</w:t>
            </w:r>
          </w:p>
        </w:tc>
        <w:tc>
          <w:tcPr>
            <w:tcW w:w="3754" w:type="dxa"/>
            <w:tcBorders/>
          </w:tcPr>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Досрочный возврат займа по инициативе заемщика</w:t>
            </w:r>
          </w:p>
        </w:tc>
        <w:tc>
          <w:tcPr>
            <w:tcW w:w="4977" w:type="dxa"/>
            <w:tcBorders/>
          </w:tcPr>
          <w:p>
            <w:pPr>
              <w:pStyle w:val="NoSpacing"/>
              <w:jc w:val="both"/>
              <w:rPr>
                <w:rFonts w:ascii="Palatino Linotype" w:hAnsi="Palatino Linotype"/>
                <w:lang w:val="ru-RU"/>
              </w:rPr>
            </w:pPr>
            <w:r>
              <w:rPr>
                <w:rFonts w:eastAsia="" w:cs="Times New Roman" w:ascii="Palatino Linotype" w:hAnsi="Palatino Linotype" w:eastAsiaTheme="majorEastAsia"/>
                <w:lang w:val="ru-RU" w:eastAsia="en-US" w:bidi="en-US"/>
              </w:rPr>
              <w:t xml:space="preserve">Заемщик имеет право досрочно вернуть всю сумму микрозайма или её часть без предварительного уведомления Общества с уплатой процентов за фактический срок пользования суммой микрозайма.  </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ru-RU" w:eastAsia="en-US" w:bidi="en-US"/>
              </w:rPr>
              <w:t>42</w:t>
            </w:r>
          </w:p>
        </w:tc>
        <w:tc>
          <w:tcPr>
            <w:tcW w:w="3754" w:type="dxa"/>
            <w:tcBorders/>
          </w:tcPr>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eastAsiaTheme="majorEastAsia" w:ascii="Palatino Linotype" w:hAnsi="Palatino Linotype"/>
                <w:lang w:val="ru-RU" w:eastAsia="en-US" w:bidi="en-US"/>
              </w:rPr>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Досрочный возврат займа по инициативе Общества</w:t>
            </w:r>
          </w:p>
        </w:tc>
        <w:tc>
          <w:tcPr>
            <w:tcW w:w="4977" w:type="dxa"/>
            <w:tcBorders/>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 xml:space="preserve">В случае нарушения заемщиком условий договора микрозайма в отношении сроков возврата сумм основного долга и (или)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Общество вправе потребовать досрочного возврата оставшейся суммы потребительского микрозайма вместе с причитающимися процентами и (или) расторжения договора потребительского микрозайма, уведомив об этом заемщика, и установив срок возврата оставшейся суммы потребительского микрозайма, который составляет 30 (тридцать) календарных дней с момента направления Обществом уведомления. </w:t>
            </w:r>
          </w:p>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В случае нарушения заемщиком условий договора потребительского микрозайма,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чем 10 (десять) календарных дней Общество вправе потребовать досрочного возврата оставшейся суммы потребительского микрозайма вместе с причитающимися процентами или расторжения договора, уведомив об этом заемщика, и установив срок возврата оставшейся суммы потребительского микрозайма, который составляет 10 (десять) календарных дней с момента направления Обществом уведомления.</w:t>
            </w:r>
          </w:p>
        </w:tc>
      </w:tr>
      <w:tr>
        <w:trPr>
          <w:trHeight w:val="794" w:hRule="atLeast"/>
        </w:trPr>
        <w:tc>
          <w:tcPr>
            <w:tcW w:w="479" w:type="dxa"/>
            <w:tcBorders/>
            <w:vAlign w:val="center"/>
          </w:tcPr>
          <w:p>
            <w:pPr>
              <w:pStyle w:val="NoSpacing"/>
              <w:jc w:val="both"/>
              <w:rPr>
                <w:rFonts w:ascii="Palatino Linotype" w:hAnsi="Palatino Linotype"/>
                <w:b/>
                <w:b/>
                <w:lang w:val="ru-RU"/>
              </w:rPr>
            </w:pPr>
            <w:r>
              <w:rPr>
                <w:rFonts w:cs="Times New Roman" w:ascii="Palatino Linotype" w:hAnsi="Palatino Linotype"/>
                <w:b/>
                <w:lang w:val="en-US" w:eastAsia="en-US" w:bidi="en-US"/>
              </w:rPr>
              <w:t>4</w:t>
            </w:r>
            <w:r>
              <w:rPr>
                <w:rFonts w:cs="Times New Roman" w:ascii="Palatino Linotype" w:hAnsi="Palatino Linotype"/>
                <w:b/>
                <w:lang w:val="ru-RU" w:eastAsia="en-US" w:bidi="en-US"/>
              </w:rPr>
              <w:t>3</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Подсудность споров по искам Общества к заемщику</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Подсудность споров по искам Общества к заемщику определяется в индивидуальных условиях договора потребительского микрозайма.</w:t>
            </w:r>
          </w:p>
        </w:tc>
      </w:tr>
      <w:tr>
        <w:trPr>
          <w:trHeight w:val="794" w:hRule="atLeast"/>
        </w:trPr>
        <w:tc>
          <w:tcPr>
            <w:tcW w:w="479" w:type="dxa"/>
            <w:tcBorders/>
            <w:vAlign w:val="center"/>
          </w:tcPr>
          <w:p>
            <w:pPr>
              <w:pStyle w:val="NoSpacing"/>
              <w:jc w:val="both"/>
              <w:rPr>
                <w:rFonts w:ascii="Palatino Linotype" w:hAnsi="Palatino Linotype"/>
                <w:b/>
                <w:b/>
              </w:rPr>
            </w:pPr>
            <w:r>
              <w:rPr>
                <w:rFonts w:cs="Times New Roman" w:ascii="Palatino Linotype" w:hAnsi="Palatino Linotype"/>
                <w:b/>
                <w:lang w:val="en-US" w:eastAsia="en-US" w:bidi="en-US"/>
              </w:rPr>
              <w:t>44</w:t>
            </w:r>
          </w:p>
        </w:tc>
        <w:tc>
          <w:tcPr>
            <w:tcW w:w="3754"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Формуляры или иные стандартные формы, в которых определены общие условия договора потребительского займа</w:t>
            </w:r>
          </w:p>
        </w:tc>
        <w:tc>
          <w:tcPr>
            <w:tcW w:w="4977" w:type="dxa"/>
            <w:tcBorders/>
            <w:vAlign w:val="center"/>
          </w:tcPr>
          <w:p>
            <w:pPr>
              <w:pStyle w:val="NoSpacing"/>
              <w:jc w:val="both"/>
              <w:rPr>
                <w:rFonts w:ascii="Palatino Linotype" w:hAnsi="Palatino Linotype" w:eastAsia="" w:eastAsiaTheme="majorEastAsia"/>
                <w:lang w:val="ru-RU"/>
              </w:rPr>
            </w:pPr>
            <w:r>
              <w:rPr>
                <w:rFonts w:eastAsia="" w:cs="Times New Roman" w:ascii="Palatino Linotype" w:hAnsi="Palatino Linotype" w:eastAsiaTheme="majorEastAsia"/>
                <w:lang w:val="ru-RU" w:eastAsia="en-US" w:bidi="en-US"/>
              </w:rPr>
              <w:t>Приложения № 1 – Общие условия договора потребительского микрозайма.</w:t>
            </w:r>
          </w:p>
        </w:tc>
      </w:tr>
    </w:tbl>
    <w:p>
      <w:pPr>
        <w:pStyle w:val="NoSpacing"/>
        <w:jc w:val="both"/>
        <w:rPr>
          <w:rFonts w:ascii="Palatino Linotype" w:hAnsi="Palatino Linotype"/>
        </w:rPr>
      </w:pPr>
      <w:r>
        <w:rPr>
          <w:rFonts w:ascii="Palatino Linotype" w:hAnsi="Palatino Linotype"/>
        </w:rPr>
      </w:r>
    </w:p>
    <w:p>
      <w:pPr>
        <w:sectPr>
          <w:type w:val="continuous"/>
          <w:pgSz w:w="11906" w:h="16838"/>
          <w:pgMar w:left="700" w:right="700" w:header="709" w:top="766" w:footer="0" w:bottom="765" w:gutter="0"/>
          <w:formProt w:val="false"/>
          <w:textDirection w:val="lrTb"/>
          <w:docGrid w:type="default" w:linePitch="600" w:charSpace="36864"/>
        </w:sectPr>
      </w:pPr>
    </w:p>
    <w:p>
      <w:pPr>
        <w:pStyle w:val="NoSpacing"/>
        <w:jc w:val="both"/>
        <w:rPr>
          <w:rFonts w:ascii="Palatino Linotype" w:hAnsi="Palatino Linotype"/>
        </w:rPr>
      </w:pPr>
      <w:r>
        <w:rPr>
          <w:rFonts w:ascii="Palatino Linotype" w:hAnsi="Palatino Linotype"/>
        </w:rPr>
      </w:r>
    </w:p>
    <w:p>
      <w:pPr>
        <w:pStyle w:val="NoSpacing"/>
        <w:jc w:val="both"/>
        <w:rPr>
          <w:rFonts w:ascii="Palatino Linotype" w:hAnsi="Palatino Linotype"/>
        </w:rPr>
      </w:pPr>
      <w:r>
        <w:rPr>
          <w:rFonts w:ascii="Palatino Linotype" w:hAnsi="Palatino Linotype"/>
        </w:rPr>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микрозайма, заключаемые Обществом, соответствуют данной Информации в течение всего срока действия данной редакции настоящего документа.</w:t>
      </w:r>
    </w:p>
    <w:p>
      <w:pPr>
        <w:pStyle w:val="NoSpacing"/>
        <w:jc w:val="both"/>
        <w:rPr>
          <w:rFonts w:ascii="Palatino Linotype" w:hAnsi="Palatino Linotype"/>
        </w:rPr>
      </w:pPr>
      <w:r>
        <w:rPr>
          <w:rFonts w:ascii="Palatino Linotype" w:hAnsi="Palatino Linotype"/>
        </w:rPr>
        <w:tab/>
        <w:t>Копия настоящего Документа предоставляется заемщику на основании его письменного заявления, поданного Обществу в офисе Общества.</w:t>
      </w:r>
    </w:p>
    <w:tbl>
      <w:tblPr>
        <w:tblStyle w:val="afb"/>
        <w:tblpPr w:bottomFromText="0" w:horzAnchor="margin" w:leftFromText="180" w:rightFromText="180" w:tblpX="0" w:tblpY="451" w:topFromText="0" w:vertAnchor="text"/>
        <w:tblW w:w="9639" w:type="dxa"/>
        <w:jc w:val="left"/>
        <w:tblInd w:w="108" w:type="dxa"/>
        <w:tblCellMar>
          <w:top w:w="0" w:type="dxa"/>
          <w:left w:w="108" w:type="dxa"/>
          <w:bottom w:w="0" w:type="dxa"/>
          <w:right w:w="108" w:type="dxa"/>
        </w:tblCellMar>
        <w:tblLook w:val="04a0" w:noHBand="0" w:noVBand="1" w:firstColumn="1" w:lastRow="0" w:lastColumn="0" w:firstRow="1"/>
      </w:tblPr>
      <w:tblGrid>
        <w:gridCol w:w="4535"/>
        <w:gridCol w:w="5103"/>
      </w:tblGrid>
      <w:tr>
        <w:trPr/>
        <w:tc>
          <w:tcPr>
            <w:tcW w:w="4535" w:type="dxa"/>
            <w:tcBorders/>
          </w:tcPr>
          <w:p>
            <w:pPr>
              <w:pStyle w:val="NoSpacing"/>
              <w:jc w:val="both"/>
              <w:rPr>
                <w:rFonts w:ascii="Palatino Linotype" w:hAnsi="Palatino Linotype"/>
              </w:rPr>
            </w:pPr>
            <w:r>
              <w:rPr>
                <w:rFonts w:cs="Times New Roman" w:ascii="Palatino Linotype" w:hAnsi="Palatino Linotype"/>
                <w:lang w:val="en-US" w:eastAsia="en-US" w:bidi="en-US"/>
              </w:rPr>
              <w:t>Информация о действующей редакции</w:t>
            </w:r>
          </w:p>
        </w:tc>
        <w:tc>
          <w:tcPr>
            <w:tcW w:w="5103" w:type="dxa"/>
            <w:tcBorders/>
          </w:tcPr>
          <w:p>
            <w:pPr>
              <w:pStyle w:val="NoSpacing"/>
              <w:jc w:val="both"/>
              <w:rPr>
                <w:rFonts w:ascii="Palatino Linotype" w:hAnsi="Palatino Linotype"/>
                <w:lang w:val="ru-RU"/>
              </w:rPr>
            </w:pPr>
            <w:r>
              <w:rPr>
                <w:rFonts w:cs="Times New Roman" w:ascii="Palatino Linotype" w:hAnsi="Palatino Linotype"/>
                <w:lang w:val="ru-RU" w:eastAsia="en-US" w:bidi="en-US"/>
              </w:rPr>
              <w:t>Редакция №29, действует с 01.01.2022</w:t>
            </w:r>
          </w:p>
        </w:tc>
      </w:tr>
      <w:tr>
        <w:trPr/>
        <w:tc>
          <w:tcPr>
            <w:tcW w:w="4535" w:type="dxa"/>
            <w:tcBorders>
              <w:bottom w:val="nil"/>
            </w:tcBorders>
          </w:tcPr>
          <w:p>
            <w:pPr>
              <w:pStyle w:val="NoSpacing"/>
              <w:jc w:val="both"/>
              <w:rPr>
                <w:rFonts w:ascii="Palatino Linotype" w:hAnsi="Palatino Linotype"/>
                <w:lang w:val="ru-RU"/>
              </w:rPr>
            </w:pPr>
            <w:r>
              <w:rPr>
                <w:rFonts w:cs="Times New Roman" w:ascii="Palatino Linotype" w:hAnsi="Palatino Linotype"/>
                <w:lang w:val="ru-RU" w:eastAsia="en-US" w:bidi="en-US"/>
              </w:rPr>
              <w:t>Информация о предыдущих редакциях</w:t>
            </w:r>
          </w:p>
        </w:tc>
        <w:tc>
          <w:tcPr>
            <w:tcW w:w="5103" w:type="dxa"/>
            <w:tcBorders>
              <w:bottom w:val="nil"/>
            </w:tcBorders>
          </w:tcPr>
          <w:p>
            <w:pPr>
              <w:pStyle w:val="NoSpacing"/>
              <w:jc w:val="both"/>
              <w:rPr>
                <w:rFonts w:ascii="Palatino Linotype" w:hAnsi="Palatino Linotype"/>
                <w:lang w:val="ru-RU"/>
              </w:rPr>
            </w:pPr>
            <w:r>
              <w:rPr>
                <w:rFonts w:cs="Times New Roman" w:ascii="Palatino Linotype" w:hAnsi="Palatino Linotype"/>
                <w:lang w:val="ru-RU" w:eastAsia="en-US" w:bidi="en-US"/>
              </w:rPr>
              <w:t xml:space="preserve">Редакция №1 от  01.07.2014 </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 от 13.05.2015</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№3 от 06.11.2015</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№4 от 20.11.2015</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№5 от 15.02.2016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№6 от 15.04.2016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№7 от 01.07.2016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№8 от 01.08.2016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№9 от 01.10.2016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№10 от 03.11.2016</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№11 от 01.03.2017</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№12 от 14.03.2017</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№13 от 01.06.2017</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№14 от 06.10.2017</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№15 от 18.06.2018</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№16 от 28.01.2019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№17 от 01.03.2019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№18 от 01.04.2019</w:t>
            </w:r>
          </w:p>
        </w:tc>
      </w:tr>
      <w:tr>
        <w:trPr/>
        <w:tc>
          <w:tcPr>
            <w:tcW w:w="4535" w:type="dxa"/>
            <w:tcBorders>
              <w:top w:val="nil"/>
            </w:tcBorders>
          </w:tcPr>
          <w:p>
            <w:pPr>
              <w:pStyle w:val="NoSpacing"/>
              <w:jc w:val="both"/>
              <w:rPr>
                <w:rFonts w:ascii="Palatino Linotype" w:hAnsi="Palatino Linotype"/>
                <w:lang w:val="ru-RU"/>
              </w:rPr>
            </w:pPr>
            <w:r>
              <w:rPr>
                <w:rFonts w:cs="Times New Roman" w:ascii="Palatino Linotype" w:hAnsi="Palatino Linotype"/>
                <w:lang w:val="ru-RU" w:eastAsia="en-US" w:bidi="en-US"/>
              </w:rPr>
            </w:r>
          </w:p>
        </w:tc>
        <w:tc>
          <w:tcPr>
            <w:tcW w:w="5103" w:type="dxa"/>
            <w:tcBorders>
              <w:top w:val="nil"/>
            </w:tcBorders>
          </w:tcPr>
          <w:p>
            <w:pPr>
              <w:pStyle w:val="NoSpacing"/>
              <w:jc w:val="both"/>
              <w:rPr>
                <w:rFonts w:ascii="Palatino Linotype" w:hAnsi="Palatino Linotype"/>
                <w:lang w:val="ru-RU"/>
              </w:rPr>
            </w:pPr>
            <w:r>
              <w:rPr>
                <w:rFonts w:cs="Times New Roman" w:ascii="Palatino Linotype" w:hAnsi="Palatino Linotype"/>
                <w:lang w:val="ru-RU" w:eastAsia="en-US" w:bidi="en-US"/>
              </w:rPr>
              <w:t>Редакция №19 от 01.07.2019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№20 от 01.09.2019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№21 от 01.10.2019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№22 от 01.11.2019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№23 от 04.12.2019</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№24 от 01.01.2020</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№25 от 13.05.2020</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№26 от 10.09.2020</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№27 от 01.12.2020</w:t>
            </w:r>
          </w:p>
          <w:p>
            <w:pPr>
              <w:pStyle w:val="NoSpacing"/>
              <w:jc w:val="both"/>
              <w:rPr>
                <w:rFonts w:ascii="Palatino Linotype" w:hAnsi="Palatino Linotype"/>
                <w:lang w:val="ru-RU"/>
              </w:rPr>
            </w:pPr>
            <w:r>
              <w:rPr>
                <w:rFonts w:cs="Times New Roman" w:ascii="Palatino Linotype" w:hAnsi="Palatino Linotype"/>
                <w:lang w:val="ru-RU" w:eastAsia="en-US" w:bidi="en-US"/>
              </w:rPr>
              <w:t>Редакция №28 от 02.12.2021</w:t>
            </w:r>
          </w:p>
        </w:tc>
      </w:tr>
    </w:tbl>
    <w:p>
      <w:pPr>
        <w:pStyle w:val="NoSpacing"/>
        <w:jc w:val="both"/>
        <w:rPr>
          <w:rFonts w:ascii="Palatino Linotype" w:hAnsi="Palatino Linotype"/>
        </w:rPr>
      </w:pPr>
      <w:r>
        <w:rPr/>
      </w:r>
    </w:p>
    <w:sectPr>
      <w:type w:val="continuous"/>
      <w:pgSz w:w="11906" w:h="16838"/>
      <w:pgMar w:left="700" w:right="700" w:header="709" w:top="766" w:footer="0" w:bottom="765"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Palatino Linotype">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Приложение №2</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00" w:before="0" w:after="120"/>
      <w:jc w:val="both"/>
    </w:pPr>
    <w:rPr>
      <w:rFonts w:ascii="Garamond" w:hAnsi="Garamond" w:eastAsia="" w:cs="" w:asciiTheme="minorHAnsi" w:cstheme="minorBidi" w:eastAsiaTheme="minorEastAsia" w:hAnsiTheme="minorHAnsi"/>
      <w:color w:val="auto"/>
      <w:kern w:val="0"/>
      <w:sz w:val="22"/>
      <w:szCs w:val="22"/>
      <w:lang w:val="ru-RU" w:eastAsia="ru-RU" w:bidi="ar-SA"/>
    </w:rPr>
  </w:style>
  <w:style w:type="paragraph" w:styleId="Heading1">
    <w:name w:val="Heading 1"/>
    <w:basedOn w:val="Normal"/>
    <w:next w:val="Normal"/>
    <w:link w:val="10"/>
    <w:uiPriority w:val="9"/>
    <w:qFormat/>
    <w:pPr>
      <w:keepNext w:val="true"/>
      <w:keepLines/>
      <w:spacing w:lineRule="auto" w:line="240" w:before="240" w:after="0"/>
      <w:jc w:val="center"/>
      <w:outlineLvl w:val="0"/>
    </w:pPr>
    <w:rPr>
      <w:rFonts w:ascii="Garamond" w:hAnsi="Garamond" w:eastAsia="" w:cs="" w:asciiTheme="majorHAnsi" w:cstheme="majorBidi" w:eastAsiaTheme="majorEastAsia" w:hAnsiTheme="majorHAnsi"/>
      <w:caps/>
      <w:color w:val="343437" w:themeColor="text2" w:themeShade="bf"/>
      <w:spacing w:val="20"/>
      <w:sz w:val="32"/>
      <w:szCs w:val="32"/>
    </w:rPr>
  </w:style>
  <w:style w:type="paragraph" w:styleId="Heading2">
    <w:name w:val="Heading 2"/>
    <w:basedOn w:val="Normal"/>
    <w:next w:val="Normal"/>
    <w:link w:val="20"/>
    <w:uiPriority w:val="9"/>
    <w:semiHidden/>
    <w:unhideWhenUsed/>
    <w:qFormat/>
    <w:pPr>
      <w:keepNext w:val="true"/>
      <w:keepLines/>
      <w:spacing w:lineRule="auto" w:line="240" w:before="120" w:after="0"/>
      <w:jc w:val="center"/>
      <w:outlineLvl w:val="1"/>
    </w:pPr>
    <w:rPr>
      <w:rFonts w:ascii="Garamond" w:hAnsi="Garamond" w:eastAsia="" w:cs="" w:asciiTheme="majorHAnsi" w:cstheme="majorBidi" w:eastAsiaTheme="majorEastAsia" w:hAnsiTheme="majorHAnsi"/>
      <w:bCs/>
      <w:color w:val="46464A" w:themeColor="text2"/>
      <w:sz w:val="28"/>
      <w:szCs w:val="28"/>
    </w:rPr>
  </w:style>
  <w:style w:type="paragraph" w:styleId="Heading3">
    <w:name w:val="Heading 3"/>
    <w:basedOn w:val="Normal"/>
    <w:next w:val="Normal"/>
    <w:link w:val="30"/>
    <w:uiPriority w:val="9"/>
    <w:semiHidden/>
    <w:unhideWhenUsed/>
    <w:qFormat/>
    <w:pPr>
      <w:keepNext w:val="true"/>
      <w:keepLines/>
      <w:spacing w:lineRule="auto" w:line="240" w:before="20" w:after="0"/>
      <w:jc w:val="center"/>
      <w:outlineLvl w:val="2"/>
    </w:pPr>
    <w:rPr>
      <w:rFonts w:ascii="Garamond" w:hAnsi="Garamond" w:eastAsia="" w:cs="" w:asciiTheme="majorHAnsi" w:cstheme="majorBidi" w:eastAsiaTheme="majorEastAsia" w:hAnsiTheme="majorHAnsi"/>
      <w:b/>
      <w:bCs/>
      <w:color w:val="535356" w:themeColor="accent1" w:themeShade="bf"/>
      <w:sz w:val="23"/>
    </w:rPr>
  </w:style>
  <w:style w:type="paragraph" w:styleId="Heading4">
    <w:name w:val="Heading 4"/>
    <w:basedOn w:val="Normal"/>
    <w:next w:val="Normal"/>
    <w:link w:val="40"/>
    <w:uiPriority w:val="9"/>
    <w:semiHidden/>
    <w:unhideWhenUsed/>
    <w:qFormat/>
    <w:pPr>
      <w:keepNext w:val="true"/>
      <w:keepLines/>
      <w:spacing w:lineRule="auto" w:line="264" w:before="200" w:after="0"/>
      <w:jc w:val="center"/>
      <w:outlineLvl w:val="3"/>
    </w:pPr>
    <w:rPr>
      <w:rFonts w:ascii="Garamond" w:hAnsi="Garamond" w:eastAsia="" w:cs="" w:asciiTheme="majorHAnsi" w:cstheme="majorBidi" w:eastAsiaTheme="majorEastAsia" w:hAnsiTheme="majorHAnsi"/>
      <w:bCs/>
      <w:iCs/>
      <w:caps/>
      <w:color w:val="46464A" w:themeColor="text2"/>
      <w:spacing w:val="12"/>
      <w:sz w:val="21"/>
    </w:rPr>
  </w:style>
  <w:style w:type="paragraph" w:styleId="Heading5">
    <w:name w:val="Heading 5"/>
    <w:basedOn w:val="Normal"/>
    <w:next w:val="Normal"/>
    <w:link w:val="50"/>
    <w:uiPriority w:val="9"/>
    <w:semiHidden/>
    <w:unhideWhenUsed/>
    <w:qFormat/>
    <w:pPr>
      <w:keepNext w:val="true"/>
      <w:keepLines/>
      <w:spacing w:lineRule="auto" w:line="264" w:before="200" w:after="0"/>
      <w:jc w:val="center"/>
      <w:outlineLvl w:val="4"/>
    </w:pPr>
    <w:rPr>
      <w:rFonts w:ascii="Garamond" w:hAnsi="Garamond" w:eastAsia="" w:cs="" w:asciiTheme="majorHAnsi" w:cstheme="majorBidi" w:eastAsiaTheme="majorEastAsia" w:hAnsiTheme="majorHAnsi"/>
      <w:color w:val="232324" w:themeColor="text2" w:themeShade="80"/>
    </w:rPr>
  </w:style>
  <w:style w:type="paragraph" w:styleId="Heading6">
    <w:name w:val="Heading 6"/>
    <w:basedOn w:val="Normal"/>
    <w:next w:val="Normal"/>
    <w:link w:val="60"/>
    <w:uiPriority w:val="9"/>
    <w:semiHidden/>
    <w:unhideWhenUsed/>
    <w:qFormat/>
    <w:pPr>
      <w:keepNext w:val="true"/>
      <w:keepLines/>
      <w:spacing w:lineRule="auto" w:line="264" w:before="200" w:after="0"/>
      <w:jc w:val="center"/>
      <w:outlineLvl w:val="5"/>
    </w:pPr>
    <w:rPr>
      <w:rFonts w:ascii="Garamond" w:hAnsi="Garamond" w:eastAsia="" w:cs="" w:asciiTheme="majorHAnsi" w:cstheme="majorBidi" w:eastAsiaTheme="majorEastAsia" w:hAnsiTheme="majorHAnsi"/>
      <w:i/>
      <w:iCs/>
      <w:color w:val="000000"/>
      <w:sz w:val="21"/>
      <w14:textFill>
        <w14:solidFill>
          <w14:srgbClr w14:val="000000">
            <w14:lumMod w14:val="50000"/>
            <w14:lumMod w14:val="50000"/>
          </w14:srgbClr>
        </w14:solidFill>
      </w14:textFill>
    </w:rPr>
  </w:style>
  <w:style w:type="paragraph" w:styleId="Heading7">
    <w:name w:val="Heading 7"/>
    <w:basedOn w:val="Normal"/>
    <w:next w:val="Normal"/>
    <w:link w:val="70"/>
    <w:uiPriority w:val="9"/>
    <w:semiHidden/>
    <w:unhideWhenUsed/>
    <w:qFormat/>
    <w:pPr>
      <w:keepNext w:val="true"/>
      <w:keepLines/>
      <w:spacing w:lineRule="auto" w:line="264" w:before="200" w:after="0"/>
      <w:jc w:val="center"/>
      <w:outlineLvl w:val="6"/>
    </w:pPr>
    <w:rPr>
      <w:rFonts w:ascii="Garamond" w:hAnsi="Garamond" w:eastAsia="" w:cs="" w:asciiTheme="majorHAnsi" w:cstheme="majorBidi" w:eastAsiaTheme="majorEastAsia" w:hAnsiTheme="majorHAnsi"/>
      <w:i/>
      <w:iCs/>
      <w:color w:val="A7B789" w:themeColor="accent2"/>
      <w:sz w:val="21"/>
      <w14:textFill>
        <w14:solidFill>
          <w14:schemeClr w14:val="accent2">
            <w14:lumMod w14:val="75000"/>
            <w14:lumMod w14:val="75000"/>
            <w14:lumOff w14:val="25000"/>
          </w14:schemeClr>
        </w14:solidFill>
      </w14:textFill>
    </w:rPr>
  </w:style>
  <w:style w:type="paragraph" w:styleId="Heading8">
    <w:name w:val="Heading 8"/>
    <w:basedOn w:val="Normal"/>
    <w:next w:val="Normal"/>
    <w:link w:val="80"/>
    <w:uiPriority w:val="9"/>
    <w:semiHidden/>
    <w:unhideWhenUsed/>
    <w:qFormat/>
    <w:pPr>
      <w:keepNext w:val="true"/>
      <w:keepLines/>
      <w:spacing w:lineRule="auto" w:line="264" w:before="200" w:after="0"/>
      <w:jc w:val="center"/>
      <w:outlineLvl w:val="7"/>
    </w:pPr>
    <w:rPr>
      <w:rFonts w:ascii="Garamond" w:hAnsi="Garamond" w:eastAsia="" w:cs="" w:asciiTheme="majorHAnsi" w:cstheme="majorBidi" w:eastAsiaTheme="majorEastAsia" w:hAnsiTheme="majorHAnsi"/>
      <w:color w:val="000000"/>
      <w:sz w:val="20"/>
      <w:szCs w:val="20"/>
      <w14:textFill>
        <w14:solidFill>
          <w14:srgbClr w14:val="000000">
            <w14:lumMod w14:val="75000"/>
            <w14:lumOff w14:val="25000"/>
          </w14:srgbClr>
        </w14:solidFill>
      </w14:textFill>
    </w:rPr>
  </w:style>
  <w:style w:type="paragraph" w:styleId="Heading9">
    <w:name w:val="Heading 9"/>
    <w:basedOn w:val="Normal"/>
    <w:next w:val="Normal"/>
    <w:link w:val="90"/>
    <w:uiPriority w:val="9"/>
    <w:semiHidden/>
    <w:unhideWhenUsed/>
    <w:qFormat/>
    <w:pPr>
      <w:keepNext w:val="true"/>
      <w:keepLines/>
      <w:spacing w:lineRule="auto" w:line="264" w:before="200" w:after="0"/>
      <w:jc w:val="center"/>
      <w:outlineLvl w:val="8"/>
    </w:pPr>
    <w:rPr>
      <w:rFonts w:ascii="Garamond" w:hAnsi="Garamond" w:eastAsia="" w:cs="" w:asciiTheme="majorHAnsi" w:cstheme="majorBidi" w:eastAsiaTheme="majorEastAsia" w:hAnsiTheme="majorHAnsi"/>
      <w:i/>
      <w:iCs/>
      <w:color w:val="000000"/>
      <w:sz w:val="20"/>
      <w:szCs w:val="20"/>
      <w14:textFill>
        <w14:solidFill>
          <w14:srgbClr w14:val="000000">
            <w14:lumMod w14:val="75000"/>
            <w14:lumOff w14:val="25000"/>
          </w14:srgbClr>
        </w14:solidFill>
      </w14:textFill>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Pr>
      <w:rFonts w:ascii="Garamond" w:hAnsi="Garamond" w:eastAsia="" w:cs="" w:asciiTheme="majorHAnsi" w:cstheme="majorBidi" w:eastAsiaTheme="majorEastAsia" w:hAnsiTheme="majorHAnsi"/>
      <w:caps/>
      <w:color w:val="343437" w:themeColor="text2" w:themeShade="bf"/>
      <w:spacing w:val="20"/>
      <w:sz w:val="32"/>
      <w:szCs w:val="32"/>
    </w:rPr>
  </w:style>
  <w:style w:type="character" w:styleId="Style5" w:customStyle="1">
    <w:name w:val="Подзаголовок Знак"/>
    <w:basedOn w:val="DefaultParagraphFont"/>
    <w:link w:val="a3"/>
    <w:uiPriority w:val="11"/>
    <w:qFormat/>
    <w:rPr>
      <w:rFonts w:eastAsia="" w:cs="" w:cstheme="majorBidi" w:eastAsiaTheme="majorEastAsia"/>
      <w:iCs/>
      <w:color w:val="000000" w:themeColor="text1"/>
      <w:spacing w:val="15"/>
      <w:sz w:val="28"/>
      <w:szCs w:val="28"/>
      <w14:textFill>
        <w14:solidFill>
          <w14:schemeClr w14:val="tx1">
            <w14:lumMod w14:val="65000"/>
            <w14:lumOff w14:val="35000"/>
            <w14:lumMod w14:val="50000"/>
          </w14:schemeClr>
        </w14:solidFill>
      </w14:textFill>
    </w:rPr>
  </w:style>
  <w:style w:type="character" w:styleId="Style6" w:customStyle="1">
    <w:name w:val="Текст выноски Знак"/>
    <w:basedOn w:val="DefaultParagraphFont"/>
    <w:link w:val="a5"/>
    <w:uiPriority w:val="99"/>
    <w:semiHidden/>
    <w:qFormat/>
    <w:rPr>
      <w:rFonts w:ascii="Tahoma" w:hAnsi="Tahoma" w:cs="Tahoma"/>
      <w:sz w:val="16"/>
      <w:szCs w:val="16"/>
    </w:rPr>
  </w:style>
  <w:style w:type="character" w:styleId="2" w:customStyle="1">
    <w:name w:val="Заголовок 2 Знак"/>
    <w:basedOn w:val="DefaultParagraphFont"/>
    <w:link w:val="2"/>
    <w:uiPriority w:val="9"/>
    <w:semiHidden/>
    <w:qFormat/>
    <w:rPr>
      <w:rFonts w:ascii="Garamond" w:hAnsi="Garamond" w:eastAsia="" w:cs="" w:asciiTheme="majorHAnsi" w:cstheme="majorBidi" w:eastAsiaTheme="majorEastAsia" w:hAnsiTheme="majorHAnsi"/>
      <w:bCs/>
      <w:color w:val="46464A" w:themeColor="text2"/>
      <w:sz w:val="28"/>
      <w:szCs w:val="28"/>
    </w:rPr>
  </w:style>
  <w:style w:type="character" w:styleId="3" w:customStyle="1">
    <w:name w:val="Заголовок 3 Знак"/>
    <w:basedOn w:val="DefaultParagraphFont"/>
    <w:link w:val="3"/>
    <w:uiPriority w:val="9"/>
    <w:semiHidden/>
    <w:qFormat/>
    <w:rPr>
      <w:rFonts w:ascii="Garamond" w:hAnsi="Garamond" w:eastAsia="" w:cs="" w:asciiTheme="majorHAnsi" w:cstheme="majorBidi" w:eastAsiaTheme="majorEastAsia" w:hAnsiTheme="majorHAnsi"/>
      <w:b/>
      <w:bCs/>
      <w:color w:val="535356" w:themeColor="accent1" w:themeShade="bf"/>
      <w:sz w:val="23"/>
    </w:rPr>
  </w:style>
  <w:style w:type="character" w:styleId="4" w:customStyle="1">
    <w:name w:val="Заголовок 4 Знак"/>
    <w:basedOn w:val="DefaultParagraphFont"/>
    <w:link w:val="4"/>
    <w:uiPriority w:val="9"/>
    <w:semiHidden/>
    <w:qFormat/>
    <w:rPr>
      <w:rFonts w:ascii="Garamond" w:hAnsi="Garamond" w:eastAsia="" w:cs="" w:asciiTheme="majorHAnsi" w:cstheme="majorBidi" w:eastAsiaTheme="majorEastAsia" w:hAnsiTheme="majorHAnsi"/>
      <w:bCs/>
      <w:iCs/>
      <w:caps/>
      <w:color w:val="46464A" w:themeColor="text2"/>
      <w:spacing w:val="12"/>
      <w:sz w:val="21"/>
    </w:rPr>
  </w:style>
  <w:style w:type="character" w:styleId="5" w:customStyle="1">
    <w:name w:val="Заголовок 5 Знак"/>
    <w:basedOn w:val="DefaultParagraphFont"/>
    <w:link w:val="5"/>
    <w:uiPriority w:val="9"/>
    <w:semiHidden/>
    <w:qFormat/>
    <w:rPr>
      <w:rFonts w:ascii="Garamond" w:hAnsi="Garamond" w:eastAsia="" w:cs="" w:asciiTheme="majorHAnsi" w:cstheme="majorBidi" w:eastAsiaTheme="majorEastAsia" w:hAnsiTheme="majorHAnsi"/>
      <w:color w:val="232324" w:themeColor="text2" w:themeShade="80"/>
    </w:rPr>
  </w:style>
  <w:style w:type="character" w:styleId="6" w:customStyle="1">
    <w:name w:val="Заголовок 6 Знак"/>
    <w:basedOn w:val="DefaultParagraphFont"/>
    <w:link w:val="6"/>
    <w:uiPriority w:val="9"/>
    <w:semiHidden/>
    <w:qFormat/>
    <w:rPr>
      <w:rFonts w:ascii="Garamond" w:hAnsi="Garamond" w:eastAsia="" w:cs="" w:asciiTheme="majorHAnsi" w:cstheme="majorBidi" w:eastAsiaTheme="majorEastAsia" w:hAnsiTheme="majorHAnsi"/>
      <w:i/>
      <w:iCs/>
      <w:color w:val="000000"/>
      <w:sz w:val="21"/>
      <w14:textFill>
        <w14:solidFill>
          <w14:srgbClr w14:val="000000">
            <w14:lumMod w14:val="50000"/>
            <w14:lumMod w14:val="50000"/>
          </w14:srgbClr>
        </w14:solidFill>
      </w14:textFill>
    </w:rPr>
  </w:style>
  <w:style w:type="character" w:styleId="7" w:customStyle="1">
    <w:name w:val="Заголовок 7 Знак"/>
    <w:basedOn w:val="DefaultParagraphFont"/>
    <w:link w:val="7"/>
    <w:uiPriority w:val="9"/>
    <w:semiHidden/>
    <w:qFormat/>
    <w:rPr>
      <w:rFonts w:ascii="Garamond" w:hAnsi="Garamond" w:eastAsia="" w:cs="" w:asciiTheme="majorHAnsi" w:cstheme="majorBidi" w:eastAsiaTheme="majorEastAsia" w:hAnsiTheme="majorHAnsi"/>
      <w:i/>
      <w:iCs/>
      <w:color w:val="A7B789" w:themeColor="accent2"/>
      <w:sz w:val="21"/>
      <w14:textFill>
        <w14:solidFill>
          <w14:schemeClr w14:val="accent2">
            <w14:lumMod w14:val="75000"/>
            <w14:lumMod w14:val="75000"/>
            <w14:lumOff w14:val="25000"/>
          </w14:schemeClr>
        </w14:solidFill>
      </w14:textFill>
    </w:rPr>
  </w:style>
  <w:style w:type="character" w:styleId="8" w:customStyle="1">
    <w:name w:val="Заголовок 8 Знак"/>
    <w:basedOn w:val="DefaultParagraphFont"/>
    <w:link w:val="8"/>
    <w:uiPriority w:val="9"/>
    <w:semiHidden/>
    <w:qFormat/>
    <w:rPr>
      <w:rFonts w:ascii="Garamond" w:hAnsi="Garamond" w:eastAsia="" w:cs="" w:asciiTheme="majorHAnsi" w:cstheme="majorBidi" w:eastAsiaTheme="majorEastAsia" w:hAnsiTheme="majorHAnsi"/>
      <w:color w:val="000000"/>
      <w:sz w:val="20"/>
      <w:szCs w:val="20"/>
      <w14:textFill>
        <w14:solidFill>
          <w14:srgbClr w14:val="000000">
            <w14:lumMod w14:val="75000"/>
            <w14:lumOff w14:val="25000"/>
          </w14:srgbClr>
        </w14:solidFill>
      </w14:textFill>
    </w:rPr>
  </w:style>
  <w:style w:type="character" w:styleId="9" w:customStyle="1">
    <w:name w:val="Заголовок 9 Знак"/>
    <w:basedOn w:val="DefaultParagraphFont"/>
    <w:link w:val="9"/>
    <w:uiPriority w:val="9"/>
    <w:semiHidden/>
    <w:qFormat/>
    <w:rPr>
      <w:rFonts w:ascii="Garamond" w:hAnsi="Garamond" w:eastAsia="" w:cs="" w:asciiTheme="majorHAnsi" w:cstheme="majorBidi" w:eastAsiaTheme="majorEastAsia" w:hAnsiTheme="majorHAnsi"/>
      <w:i/>
      <w:iCs/>
      <w:color w:val="000000"/>
      <w:sz w:val="20"/>
      <w:szCs w:val="20"/>
      <w14:textFill>
        <w14:solidFill>
          <w14:srgbClr w14:val="000000">
            <w14:lumMod w14:val="75000"/>
            <w14:lumOff w14:val="25000"/>
          </w14:srgbClr>
        </w14:solidFill>
      </w14:textFill>
    </w:rPr>
  </w:style>
  <w:style w:type="character" w:styleId="Style7" w:customStyle="1">
    <w:name w:val="Заголовок Знак"/>
    <w:basedOn w:val="DefaultParagraphFont"/>
    <w:link w:val="a8"/>
    <w:uiPriority w:val="10"/>
    <w:qFormat/>
    <w:rPr>
      <w:rFonts w:ascii="Garamond" w:hAnsi="Garamond" w:eastAsia="" w:cs="" w:asciiTheme="majorHAnsi" w:cstheme="majorBidi" w:eastAsiaTheme="majorEastAsia" w:hAnsiTheme="majorHAnsi"/>
      <w:caps/>
      <w:color w:val="46464A" w:themeColor="text2"/>
      <w:spacing w:val="20"/>
      <w:kern w:val="2"/>
      <w:sz w:val="40"/>
      <w:szCs w:val="40"/>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character" w:styleId="Style8" w:customStyle="1">
    <w:name w:val="Без интервала Знак"/>
    <w:basedOn w:val="DefaultParagraphFont"/>
    <w:link w:val="ac"/>
    <w:uiPriority w:val="1"/>
    <w:qFormat/>
    <w:rPr/>
  </w:style>
  <w:style w:type="character" w:styleId="21" w:customStyle="1">
    <w:name w:val="Цитата 2 Знак"/>
    <w:basedOn w:val="DefaultParagraphFont"/>
    <w:link w:val="21"/>
    <w:uiPriority w:val="29"/>
    <w:qFormat/>
    <w:rPr>
      <w:rFonts w:ascii="Garamond" w:hAnsi="Garamond" w:asciiTheme="majorHAnsi" w:hAnsiTheme="majorHAnsi"/>
      <w:caps/>
      <w:color w:val="535356" w:themeColor="accent1" w:themeShade="bf"/>
      <w:spacing w:val="10"/>
      <w14:ligatures w14:val="standard"/>
      <w14:numForm w14:val="oldStyle"/>
    </w:rPr>
  </w:style>
  <w:style w:type="character" w:styleId="Style9" w:customStyle="1">
    <w:name w:val="Выделенная цитата Знак"/>
    <w:basedOn w:val="DefaultParagraphFont"/>
    <w:link w:val="af"/>
    <w:uiPriority w:val="30"/>
    <w:qFormat/>
    <w:rPr>
      <w:rFonts w:ascii="Garamond" w:hAnsi="Garamond" w:eastAsia="" w:asciiTheme="majorHAnsi" w:eastAsiaTheme="majorEastAsia" w:hAnsiTheme="majorHAnsi"/>
      <w:caps/>
      <w:color w:val="FFFFFF" w:themeColor="background1"/>
      <w:spacing w:val="6"/>
      <w:sz w:val="24"/>
      <w:shd w:fill="6F6F74" w:val="clear"/>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false"/>
      <w:smallCaps w:val="false"/>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false"/>
      <w:smallCaps w:val="false"/>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smallCaps/>
      <w:spacing w:val="10"/>
    </w:rPr>
  </w:style>
  <w:style w:type="character" w:styleId="PlaceholderText">
    <w:name w:val="Placeholder Text"/>
    <w:basedOn w:val="DefaultParagraphFont"/>
    <w:uiPriority w:val="99"/>
    <w:semiHidden/>
    <w:qFormat/>
    <w:rPr>
      <w:color w:val="808080"/>
    </w:rPr>
  </w:style>
  <w:style w:type="character" w:styleId="Style10" w:customStyle="1">
    <w:name w:val="Нижний колонтитул Знак"/>
    <w:basedOn w:val="DefaultParagraphFont"/>
    <w:link w:val="af8"/>
    <w:uiPriority w:val="99"/>
    <w:qFormat/>
    <w:rPr/>
  </w:style>
  <w:style w:type="character" w:styleId="InternetLink">
    <w:name w:val="Hyperlink"/>
    <w:basedOn w:val="DefaultParagraphFont"/>
    <w:uiPriority w:val="99"/>
    <w:unhideWhenUsed/>
    <w:rsid w:val="000e6894"/>
    <w:rPr>
      <w:color w:val="67AABF" w:themeColor="hyperlink"/>
      <w:u w:val="single"/>
    </w:rPr>
  </w:style>
  <w:style w:type="character" w:styleId="Style11" w:customStyle="1">
    <w:name w:val="Верхний колонтитул Знак"/>
    <w:basedOn w:val="DefaultParagraphFont"/>
    <w:link w:val="afc"/>
    <w:uiPriority w:val="99"/>
    <w:qFormat/>
    <w:rsid w:val="00454e6e"/>
    <w:rPr/>
  </w:style>
  <w:style w:type="character" w:styleId="UnresolvedMention">
    <w:name w:val="Unresolved Mention"/>
    <w:basedOn w:val="DefaultParagraphFont"/>
    <w:uiPriority w:val="99"/>
    <w:semiHidden/>
    <w:unhideWhenUsed/>
    <w:qFormat/>
    <w:rsid w:val="00360037"/>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title">
    <w:name w:val="Subtitle"/>
    <w:basedOn w:val="Normal"/>
    <w:next w:val="Normal"/>
    <w:link w:val="a4"/>
    <w:uiPriority w:val="11"/>
    <w:qFormat/>
    <w:pPr>
      <w:jc w:val="center"/>
    </w:pPr>
    <w:rPr>
      <w:rFonts w:eastAsia="" w:cs="" w:cstheme="majorBidi" w:eastAsiaTheme="majorEastAsia"/>
      <w:iCs/>
      <w:color w:val="000000" w:themeColor="text1"/>
      <w:spacing w:val="15"/>
      <w:sz w:val="28"/>
      <w:szCs w:val="28"/>
      <w14:textFill>
        <w14:solidFill>
          <w14:schemeClr w14:val="tx1">
            <w14:lumMod w14:val="65000"/>
            <w14:lumOff w14:val="35000"/>
            <w14:lumMod w14:val="50000"/>
          </w14:schemeClr>
        </w14:solidFill>
      </w14:textFill>
    </w:rPr>
  </w:style>
  <w:style w:type="paragraph" w:styleId="BalloonText">
    <w:name w:val="Balloon Text"/>
    <w:basedOn w:val="Normal"/>
    <w:link w:val="a6"/>
    <w:uiPriority w:val="99"/>
    <w:semiHidden/>
    <w:unhideWhenUsed/>
    <w:qFormat/>
    <w:pPr>
      <w:spacing w:lineRule="auto" w:line="240" w:before="0" w:after="0"/>
    </w:pPr>
    <w:rPr>
      <w:rFonts w:ascii="Tahoma" w:hAnsi="Tahoma" w:cs="Tahoma"/>
      <w:sz w:val="16"/>
      <w:szCs w:val="16"/>
    </w:rPr>
  </w:style>
  <w:style w:type="paragraph" w:styleId="Caption1">
    <w:name w:val="caption"/>
    <w:basedOn w:val="Normal"/>
    <w:next w:val="Normal"/>
    <w:uiPriority w:val="35"/>
    <w:semiHidden/>
    <w:unhideWhenUsed/>
    <w:qFormat/>
    <w:pPr>
      <w:spacing w:lineRule="auto" w:line="240"/>
    </w:pPr>
    <w:rPr>
      <w:b/>
      <w:bCs/>
      <w:color w:val="46464A" w:themeColor="text2"/>
      <w:sz w:val="18"/>
      <w:szCs w:val="18"/>
    </w:rPr>
  </w:style>
  <w:style w:type="paragraph" w:styleId="Title">
    <w:name w:val="Title"/>
    <w:basedOn w:val="Normal"/>
    <w:next w:val="Normal"/>
    <w:link w:val="a9"/>
    <w:uiPriority w:val="10"/>
    <w:qFormat/>
    <w:pPr>
      <w:spacing w:lineRule="auto" w:line="240" w:before="0" w:after="120"/>
      <w:contextualSpacing/>
      <w:jc w:val="center"/>
    </w:pPr>
    <w:rPr>
      <w:rFonts w:ascii="Garamond" w:hAnsi="Garamond" w:eastAsia="" w:cs="" w:asciiTheme="majorHAnsi" w:cstheme="majorBidi" w:eastAsiaTheme="majorEastAsia" w:hAnsiTheme="majorHAnsi"/>
      <w:caps/>
      <w:color w:val="46464A" w:themeColor="text2"/>
      <w:spacing w:val="20"/>
      <w:kern w:val="2"/>
      <w:sz w:val="40"/>
      <w:szCs w:val="40"/>
      <w14:ligatures w14:val="standard"/>
      <w14:numForm w14:val="oldStyle"/>
      <w14:cntxtAlts/>
    </w:rPr>
  </w:style>
  <w:style w:type="paragraph" w:styleId="NoSpacing">
    <w:name w:val="No Spacing"/>
    <w:link w:val="ad"/>
    <w:uiPriority w:val="1"/>
    <w:qFormat/>
    <w:pPr>
      <w:widowControl/>
      <w:bidi w:val="0"/>
      <w:spacing w:lineRule="auto" w:line="240" w:before="0" w:after="0"/>
      <w:jc w:val="left"/>
    </w:pPr>
    <w:rPr>
      <w:rFonts w:ascii="Garamond" w:hAnsi="Garamond" w:eastAsia="" w:cs="" w:asciiTheme="minorHAnsi" w:cstheme="minorBidi" w:eastAsiaTheme="minorEastAsia" w:hAnsiTheme="minorHAnsi"/>
      <w:color w:val="auto"/>
      <w:kern w:val="0"/>
      <w:sz w:val="22"/>
      <w:szCs w:val="22"/>
      <w:lang w:val="ru-RU" w:eastAsia="ru-RU" w:bidi="ar-SA"/>
    </w:rPr>
  </w:style>
  <w:style w:type="paragraph" w:styleId="ListParagraph">
    <w:name w:val="List Paragraph"/>
    <w:basedOn w:val="Normal"/>
    <w:uiPriority w:val="34"/>
    <w:qFormat/>
    <w:pPr>
      <w:spacing w:lineRule="auto" w:line="240" w:before="0" w:after="160"/>
      <w:ind w:left="1008" w:hanging="288"/>
      <w:contextualSpacing/>
    </w:pPr>
    <w:rPr>
      <w:rFonts w:eastAsia="Garamond" w:eastAsiaTheme="minorHAnsi"/>
      <w:sz w:val="21"/>
    </w:rPr>
  </w:style>
  <w:style w:type="paragraph" w:styleId="Quote">
    <w:name w:val="Quote"/>
    <w:basedOn w:val="Normal"/>
    <w:next w:val="Normal"/>
    <w:link w:val="22"/>
    <w:uiPriority w:val="29"/>
    <w:qFormat/>
    <w:pPr>
      <w:pBdr>
        <w:top w:val="single" w:sz="12" w:space="4" w:color="6F6F74"/>
        <w:bottom w:val="double" w:sz="18" w:space="4" w:color="6F6F74"/>
      </w:pBdr>
      <w:spacing w:lineRule="auto" w:line="360" w:before="0" w:after="0"/>
      <w:jc w:val="center"/>
    </w:pPr>
    <w:rPr>
      <w:rFonts w:ascii="Garamond" w:hAnsi="Garamond" w:asciiTheme="majorHAnsi" w:hAnsiTheme="majorHAnsi"/>
      <w:caps/>
      <w:color w:val="535356" w:themeColor="accent1" w:themeShade="bf"/>
      <w:spacing w:val="10"/>
      <w14:ligatures w14:val="standard"/>
      <w14:numForm w14:val="oldStyle"/>
    </w:rPr>
  </w:style>
  <w:style w:type="paragraph" w:styleId="IntenseQuote">
    <w:name w:val="Intense Quote"/>
    <w:basedOn w:val="Normal"/>
    <w:next w:val="Normal"/>
    <w:link w:val="af0"/>
    <w:uiPriority w:val="30"/>
    <w:qFormat/>
    <w:pPr>
      <w:pBdr>
        <w:top w:val="thickThinSmallGap" w:sz="48" w:space="8" w:color="6F6F74"/>
        <w:left w:val="thickThinSmallGap" w:sz="48" w:space="8" w:color="6F6F74"/>
        <w:bottom w:val="thinThickSmallGap" w:sz="48" w:space="8" w:color="6F6F74"/>
        <w:right w:val="thinThickSmallGap" w:sz="48" w:space="8" w:color="6F6F74"/>
      </w:pBdr>
      <w:shd w:val="clear" w:color="auto" w:fill="6F6F74" w:themeFill="accent1"/>
      <w:spacing w:lineRule="auto" w:line="360" w:before="120" w:after="120"/>
      <w:ind w:left="288" w:right="288" w:hanging="0"/>
      <w:jc w:val="center"/>
    </w:pPr>
    <w:rPr>
      <w:rFonts w:ascii="Garamond" w:hAnsi="Garamond" w:eastAsia=""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paragraph" w:styleId="TOCHeading">
    <w:name w:val="TOC Heading"/>
    <w:basedOn w:val="Heading1"/>
    <w:next w:val="Normal"/>
    <w:uiPriority w:val="39"/>
    <w:semiHidden/>
    <w:unhideWhenUsed/>
    <w:qFormat/>
    <w:pPr>
      <w:spacing w:lineRule="auto" w:line="300" w:before="480" w:after="0"/>
      <w:jc w:val="both"/>
    </w:pPr>
    <w:rPr>
      <w:b/>
      <w:bCs/>
      <w:caps w:val="false"/>
      <w:smallCaps w:val="false"/>
      <w:color w:val="535356" w:themeColor="accent1" w:themeShade="bf"/>
      <w:spacing w:val="0"/>
      <w:sz w:val="28"/>
      <w:szCs w:val="28"/>
    </w:rPr>
  </w:style>
  <w:style w:type="paragraph" w:styleId="HeaderandFooter">
    <w:name w:val="Header and Footer"/>
    <w:basedOn w:val="Normal"/>
    <w:qFormat/>
    <w:pPr/>
    <w:rPr/>
  </w:style>
  <w:style w:type="paragraph" w:styleId="Footer">
    <w:name w:val="Footer"/>
    <w:basedOn w:val="Normal"/>
    <w:link w:val="af9"/>
    <w:uiPriority w:val="99"/>
    <w:unhideWhenUsed/>
    <w:pPr>
      <w:tabs>
        <w:tab w:val="clear" w:pos="720"/>
        <w:tab w:val="center" w:pos="4680" w:leader="none"/>
        <w:tab w:val="right" w:pos="9360" w:leader="none"/>
      </w:tabs>
      <w:spacing w:lineRule="auto" w:line="240" w:before="0" w:after="0"/>
    </w:pPr>
    <w:rPr/>
  </w:style>
  <w:style w:type="paragraph" w:styleId="Header">
    <w:name w:val="Header"/>
    <w:basedOn w:val="Normal"/>
    <w:link w:val="afd"/>
    <w:uiPriority w:val="99"/>
    <w:unhideWhenUsed/>
    <w:rsid w:val="00454e6e"/>
    <w:pPr>
      <w:tabs>
        <w:tab w:val="clear" w:pos="720"/>
        <w:tab w:val="center" w:pos="4677" w:leader="none"/>
        <w:tab w:val="right" w:pos="9355" w:leader="none"/>
      </w:tabs>
      <w:spacing w:lineRule="auto" w:line="240" w:before="0" w:after="0"/>
    </w:pPr>
    <w:rPr/>
  </w:style>
  <w:style w:type="paragraph" w:styleId="1CStyle12" w:customStyle="1">
    <w:name w:val="1CStyle12"/>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4" w:customStyle="1">
    <w:name w:val="1CStyle14"/>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1" w:customStyle="1">
    <w:name w:val="1CStyle11"/>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3" w:customStyle="1">
    <w:name w:val="1CStyle13"/>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5" w:customStyle="1">
    <w:name w:val="1CStyle15"/>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0" w:customStyle="1">
    <w:name w:val="1CStyle10"/>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2"/>
      <w:szCs w:val="22"/>
      <w:lang w:val="ru-RU" w:eastAsia="ru-RU" w:bidi="ar-SA"/>
    </w:rPr>
  </w:style>
  <w:style w:type="paragraph" w:styleId="1CStyle16" w:customStyle="1">
    <w:name w:val="1CStyle16"/>
    <w:qFormat/>
    <w:rsid w:val="008562fc"/>
    <w:pPr>
      <w:widowControl/>
      <w:bidi w:val="0"/>
      <w:spacing w:lineRule="auto" w:line="276" w:before="0" w:after="200"/>
      <w:jc w:val="center"/>
    </w:pPr>
    <w:rPr>
      <w:rFonts w:ascii="Times New Roman" w:hAnsi="Times New Roman" w:eastAsia="" w:cs="" w:cstheme="minorBidi" w:eastAsiaTheme="minorEastAsia"/>
      <w:b/>
      <w:color w:val="auto"/>
      <w:kern w:val="0"/>
      <w:sz w:val="18"/>
      <w:szCs w:val="22"/>
      <w:lang w:val="ru-RU" w:eastAsia="ru-RU" w:bidi="ar-SA"/>
    </w:rPr>
  </w:style>
  <w:style w:type="paragraph" w:styleId="1CStyle17" w:customStyle="1">
    <w:name w:val="1CStyle17"/>
    <w:qFormat/>
    <w:rsid w:val="008562fc"/>
    <w:pPr>
      <w:widowControl/>
      <w:bidi w:val="0"/>
      <w:spacing w:lineRule="auto" w:line="276" w:before="0" w:after="200"/>
      <w:jc w:val="center"/>
    </w:pPr>
    <w:rPr>
      <w:rFonts w:ascii="Times New Roman" w:hAnsi="Times New Roman" w:eastAsia="" w:cs="" w:cstheme="minorBidi" w:eastAsiaTheme="minorEastAsia"/>
      <w:b/>
      <w:color w:val="auto"/>
      <w:kern w:val="0"/>
      <w:sz w:val="18"/>
      <w:szCs w:val="22"/>
      <w:lang w:val="ru-RU" w:eastAsia="ru-RU" w:bidi="ar-SA"/>
    </w:rPr>
  </w:style>
  <w:style w:type="paragraph" w:styleId="1CStyle18" w:customStyle="1">
    <w:name w:val="1CStyle18"/>
    <w:qFormat/>
    <w:rsid w:val="008562fc"/>
    <w:pPr>
      <w:widowControl/>
      <w:bidi w:val="0"/>
      <w:spacing w:lineRule="auto" w:line="276" w:before="0" w:after="200"/>
      <w:jc w:val="center"/>
    </w:pPr>
    <w:rPr>
      <w:rFonts w:ascii="Times New Roman" w:hAnsi="Times New Roman" w:eastAsia="" w:cs="" w:cstheme="minorBidi" w:eastAsiaTheme="minorEastAsia"/>
      <w:b/>
      <w:color w:val="auto"/>
      <w:kern w:val="0"/>
      <w:sz w:val="18"/>
      <w:szCs w:val="22"/>
      <w:lang w:val="ru-RU" w:eastAsia="ru-RU" w:bidi="ar-SA"/>
    </w:rPr>
  </w:style>
  <w:style w:type="paragraph" w:styleId="1CStyle36" w:customStyle="1">
    <w:name w:val="1CStyle36"/>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8"/>
      <w:szCs w:val="22"/>
      <w:lang w:val="ru-RU" w:eastAsia="ru-RU" w:bidi="ar-SA"/>
    </w:rPr>
  </w:style>
  <w:style w:type="paragraph" w:styleId="1CStyle21" w:customStyle="1">
    <w:name w:val="1CStyle21"/>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8"/>
      <w:szCs w:val="22"/>
      <w:lang w:val="ru-RU" w:eastAsia="ru-RU" w:bidi="ar-SA"/>
    </w:rPr>
  </w:style>
  <w:style w:type="paragraph" w:styleId="1CStyle37" w:customStyle="1">
    <w:name w:val="1CStyle37"/>
    <w:qFormat/>
    <w:rsid w:val="008562fc"/>
    <w:pPr>
      <w:widowControl/>
      <w:bidi w:val="0"/>
      <w:spacing w:lineRule="auto" w:line="276" w:before="0" w:after="200"/>
      <w:jc w:val="center"/>
    </w:pPr>
    <w:rPr>
      <w:rFonts w:ascii="Times New Roman" w:hAnsi="Times New Roman" w:eastAsia="" w:cs="" w:cstheme="minorBidi" w:eastAsiaTheme="minorEastAsia"/>
      <w:color w:val="auto"/>
      <w:kern w:val="0"/>
      <w:sz w:val="18"/>
      <w:szCs w:val="22"/>
      <w:lang w:val="ru-RU" w:eastAsia="ru-RU"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39"/>
    <w:rsid w:val="000e6894"/>
    <w:pPr>
      <w:spacing w:after="0" w:line="240" w:lineRule="auto"/>
    </w:pPr>
    <w:rPr>
      <w:lang w:val="en-US"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2014-07-01T00:00:00</PublishDate>
  <Abstract/>
  <CompanyAddress/>
  <CompanyPhone/>
  <CompanyFax/>
  <CompanyEmail/>
</CoverPageProperties>
</file>

<file path=customXml/itemProps1.xml><?xml version="1.0" encoding="utf-8"?>
<ds:datastoreItem xmlns:ds="http://schemas.openxmlformats.org/officeDocument/2006/customXml" ds:itemID="{F83A253A-2B25-4518-997B-A88B208AAA1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BlackTieNewsletter</Template>
  <TotalTime>0</TotalTime>
  <Application>LibreOffice/6.4.7.2$Linux_X86_64 LibreOffice_project/40$Build-2</Application>
  <Pages>9</Pages>
  <Words>2433</Words>
  <Characters>16814</Characters>
  <CharactersWithSpaces>19130</CharactersWithSpaces>
  <Paragraphs>230</Paragraphs>
  <Company>ООО «Финансовый клуб»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2022-01-17T19:48:03Z</dcterms:created>
  <dc:creator/>
  <dc:description/>
  <dc:language>en-US</dc:language>
  <cp:lastModifiedBy/>
  <cp:revision>1</cp:revision>
  <dc:subject/>
  <dc:title>Информация об условиях предоставления, использования и возврата потребительских микрозаймов ООО МКК «НАРОДНАЯ ОПОРА»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ООО «Финансовый клуб»</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